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F62F9" w14:textId="01338BAB" w:rsidR="00BE49D8" w:rsidRDefault="003D0851" w:rsidP="00AF4CE7">
      <w:r>
        <w:tab/>
      </w:r>
      <w:r>
        <w:tab/>
      </w:r>
      <w:r>
        <w:tab/>
      </w:r>
      <w:bookmarkStart w:id="0" w:name="_GoBack"/>
      <w:bookmarkEnd w:id="0"/>
    </w:p>
    <w:p w14:paraId="55AF62FA" w14:textId="77777777" w:rsidR="003A7BA0" w:rsidRDefault="00BE49D8" w:rsidP="00BE49D8">
      <w:pPr>
        <w:ind w:left="3888" w:firstLine="1296"/>
        <w:jc w:val="both"/>
      </w:pPr>
      <w:r>
        <w:t>Rokiškio rajono savivaldybės tarybos</w:t>
      </w:r>
    </w:p>
    <w:p w14:paraId="234CA8AC" w14:textId="77777777" w:rsidR="00FB68F6" w:rsidRDefault="00BE49D8" w:rsidP="00FB68F6">
      <w:pPr>
        <w:jc w:val="both"/>
      </w:pPr>
      <w:r>
        <w:tab/>
      </w:r>
      <w:r>
        <w:tab/>
      </w:r>
      <w:r>
        <w:tab/>
      </w:r>
      <w:r>
        <w:tab/>
        <w:t xml:space="preserve">2016 m. gegužės 27 d. </w:t>
      </w:r>
      <w:r w:rsidR="001470F3">
        <w:t>s</w:t>
      </w:r>
      <w:r>
        <w:t xml:space="preserve">prendimo </w:t>
      </w:r>
      <w:proofErr w:type="spellStart"/>
      <w:r w:rsidR="006846D7">
        <w:t>Nr.</w:t>
      </w:r>
      <w:r>
        <w:t>TS</w:t>
      </w:r>
      <w:r w:rsidR="00FB68F6">
        <w:t>-131</w:t>
      </w:r>
      <w:proofErr w:type="spellEnd"/>
    </w:p>
    <w:p w14:paraId="55AF62FC" w14:textId="4EEF88B4" w:rsidR="00BE49D8" w:rsidRDefault="00BE49D8" w:rsidP="00FB68F6">
      <w:pPr>
        <w:ind w:left="3888" w:firstLine="1296"/>
        <w:jc w:val="both"/>
      </w:pPr>
      <w:r>
        <w:t>priedas</w:t>
      </w:r>
    </w:p>
    <w:p w14:paraId="55AF62FD" w14:textId="77777777" w:rsidR="00BE49D8" w:rsidRDefault="00BE49D8" w:rsidP="00BF264F">
      <w:pPr>
        <w:jc w:val="both"/>
      </w:pPr>
    </w:p>
    <w:p w14:paraId="55AF62FE" w14:textId="77777777" w:rsidR="00BE49D8" w:rsidRDefault="00BE49D8" w:rsidP="00BE49D8">
      <w:pPr>
        <w:ind w:firstLine="1296"/>
        <w:jc w:val="both"/>
        <w:rPr>
          <w:sz w:val="22"/>
          <w:szCs w:val="22"/>
        </w:rPr>
      </w:pPr>
    </w:p>
    <w:p w14:paraId="55AF62FF" w14:textId="77777777" w:rsidR="00BE49D8" w:rsidRDefault="00BE49D8" w:rsidP="00BE49D8">
      <w:pPr>
        <w:ind w:firstLine="1296"/>
        <w:jc w:val="both"/>
        <w:rPr>
          <w:sz w:val="22"/>
          <w:szCs w:val="22"/>
        </w:rPr>
      </w:pPr>
      <w:r>
        <w:rPr>
          <w:sz w:val="22"/>
          <w:szCs w:val="22"/>
        </w:rPr>
        <w:t>Rokiškio</w:t>
      </w:r>
      <w:r w:rsidRPr="00803633">
        <w:rPr>
          <w:sz w:val="22"/>
          <w:szCs w:val="22"/>
        </w:rPr>
        <w:t xml:space="preserve"> rajono savivaldybės tarybai </w:t>
      </w:r>
      <w:r>
        <w:rPr>
          <w:sz w:val="22"/>
          <w:szCs w:val="22"/>
        </w:rPr>
        <w:t xml:space="preserve">derinimui </w:t>
      </w:r>
      <w:r w:rsidRPr="00803633">
        <w:rPr>
          <w:sz w:val="22"/>
          <w:szCs w:val="22"/>
        </w:rPr>
        <w:t>teikiam</w:t>
      </w:r>
      <w:r>
        <w:rPr>
          <w:sz w:val="22"/>
          <w:szCs w:val="22"/>
        </w:rPr>
        <w:t>os AB „Panevėžio energija“ investicijos:</w:t>
      </w:r>
    </w:p>
    <w:p w14:paraId="55AF6300" w14:textId="77777777" w:rsidR="00BE49D8" w:rsidRDefault="00BE49D8" w:rsidP="00BF264F">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417"/>
        <w:gridCol w:w="1559"/>
        <w:gridCol w:w="1276"/>
        <w:gridCol w:w="2126"/>
      </w:tblGrid>
      <w:tr w:rsidR="00BE49D8" w:rsidRPr="000C6A4A" w14:paraId="55AF6307" w14:textId="77777777" w:rsidTr="00BE49D8">
        <w:trPr>
          <w:trHeight w:val="847"/>
        </w:trPr>
        <w:tc>
          <w:tcPr>
            <w:tcW w:w="567" w:type="dxa"/>
            <w:shd w:val="clear" w:color="auto" w:fill="auto"/>
          </w:tcPr>
          <w:p w14:paraId="55AF6301" w14:textId="77777777" w:rsidR="00BE49D8" w:rsidRPr="000C6A4A" w:rsidRDefault="00BE49D8" w:rsidP="00BE49D8">
            <w:pPr>
              <w:jc w:val="center"/>
            </w:pPr>
            <w:r w:rsidRPr="000C6A4A">
              <w:rPr>
                <w:sz w:val="22"/>
                <w:szCs w:val="22"/>
              </w:rPr>
              <w:t>Eil. Nr.</w:t>
            </w:r>
          </w:p>
        </w:tc>
        <w:tc>
          <w:tcPr>
            <w:tcW w:w="2694" w:type="dxa"/>
            <w:shd w:val="clear" w:color="auto" w:fill="auto"/>
          </w:tcPr>
          <w:p w14:paraId="55AF6302" w14:textId="77777777" w:rsidR="00BE49D8" w:rsidRPr="000C6A4A" w:rsidRDefault="00BE49D8" w:rsidP="00BE49D8">
            <w:pPr>
              <w:jc w:val="center"/>
            </w:pPr>
            <w:r w:rsidRPr="000C6A4A">
              <w:rPr>
                <w:sz w:val="22"/>
                <w:szCs w:val="22"/>
              </w:rPr>
              <w:t>Objekto pavadinimas</w:t>
            </w:r>
          </w:p>
        </w:tc>
        <w:tc>
          <w:tcPr>
            <w:tcW w:w="1417" w:type="dxa"/>
            <w:shd w:val="clear" w:color="auto" w:fill="auto"/>
          </w:tcPr>
          <w:p w14:paraId="55AF6303" w14:textId="77777777" w:rsidR="00BE49D8" w:rsidRPr="000C6A4A" w:rsidRDefault="00BE49D8" w:rsidP="00BE49D8">
            <w:pPr>
              <w:jc w:val="center"/>
            </w:pPr>
            <w:r w:rsidRPr="000C6A4A">
              <w:rPr>
                <w:sz w:val="22"/>
                <w:szCs w:val="22"/>
              </w:rPr>
              <w:t>Finansavimo šaltinis</w:t>
            </w:r>
          </w:p>
        </w:tc>
        <w:tc>
          <w:tcPr>
            <w:tcW w:w="1559" w:type="dxa"/>
            <w:shd w:val="clear" w:color="auto" w:fill="auto"/>
          </w:tcPr>
          <w:p w14:paraId="55AF6304" w14:textId="0312C47F" w:rsidR="00BE49D8" w:rsidRPr="000C6A4A" w:rsidRDefault="00BE49D8" w:rsidP="001470F3">
            <w:pPr>
              <w:jc w:val="center"/>
            </w:pPr>
            <w:r w:rsidRPr="000C6A4A">
              <w:rPr>
                <w:sz w:val="22"/>
                <w:szCs w:val="22"/>
              </w:rPr>
              <w:t xml:space="preserve">Planuojama objekto vertė, tūkst. </w:t>
            </w:r>
            <w:proofErr w:type="spellStart"/>
            <w:r w:rsidR="001470F3">
              <w:rPr>
                <w:sz w:val="22"/>
                <w:szCs w:val="22"/>
              </w:rPr>
              <w:t>Eur</w:t>
            </w:r>
            <w:proofErr w:type="spellEnd"/>
          </w:p>
        </w:tc>
        <w:tc>
          <w:tcPr>
            <w:tcW w:w="1276" w:type="dxa"/>
            <w:shd w:val="clear" w:color="auto" w:fill="auto"/>
          </w:tcPr>
          <w:p w14:paraId="55AF6305" w14:textId="641FD3F2" w:rsidR="00BE49D8" w:rsidRPr="000C6A4A" w:rsidRDefault="00BE49D8" w:rsidP="00BE49D8">
            <w:pPr>
              <w:jc w:val="center"/>
            </w:pPr>
            <w:r w:rsidRPr="000C6A4A">
              <w:rPr>
                <w:sz w:val="22"/>
                <w:szCs w:val="22"/>
              </w:rPr>
              <w:t xml:space="preserve">Investicijos 2016 m. tūkst. </w:t>
            </w:r>
            <w:proofErr w:type="spellStart"/>
            <w:r w:rsidR="001470F3">
              <w:rPr>
                <w:sz w:val="22"/>
                <w:szCs w:val="22"/>
              </w:rPr>
              <w:t>Eur</w:t>
            </w:r>
            <w:proofErr w:type="spellEnd"/>
          </w:p>
        </w:tc>
        <w:tc>
          <w:tcPr>
            <w:tcW w:w="2126" w:type="dxa"/>
          </w:tcPr>
          <w:p w14:paraId="55AF6306" w14:textId="77777777" w:rsidR="00BE49D8" w:rsidRPr="000C6A4A" w:rsidRDefault="00BE49D8" w:rsidP="00BE49D8">
            <w:pPr>
              <w:jc w:val="center"/>
            </w:pPr>
            <w:r>
              <w:rPr>
                <w:sz w:val="22"/>
                <w:szCs w:val="22"/>
              </w:rPr>
              <w:t>Pastabos</w:t>
            </w:r>
          </w:p>
        </w:tc>
      </w:tr>
      <w:tr w:rsidR="00BE49D8" w:rsidRPr="000153AC" w14:paraId="55AF630E" w14:textId="77777777" w:rsidTr="00BE49D8">
        <w:trPr>
          <w:trHeight w:val="558"/>
        </w:trPr>
        <w:tc>
          <w:tcPr>
            <w:tcW w:w="567" w:type="dxa"/>
            <w:shd w:val="clear" w:color="auto" w:fill="auto"/>
          </w:tcPr>
          <w:p w14:paraId="55AF6308" w14:textId="77777777" w:rsidR="00BE49D8" w:rsidRPr="000153AC" w:rsidRDefault="00BE49D8" w:rsidP="00F33AA6">
            <w:pPr>
              <w:jc w:val="both"/>
            </w:pPr>
            <w:r w:rsidRPr="000153AC">
              <w:rPr>
                <w:sz w:val="22"/>
                <w:szCs w:val="22"/>
              </w:rPr>
              <w:t>1</w:t>
            </w:r>
          </w:p>
        </w:tc>
        <w:tc>
          <w:tcPr>
            <w:tcW w:w="2694" w:type="dxa"/>
            <w:shd w:val="clear" w:color="auto" w:fill="auto"/>
          </w:tcPr>
          <w:p w14:paraId="55AF6309" w14:textId="3412D5C3" w:rsidR="00BE49D8" w:rsidRPr="000153AC" w:rsidRDefault="00BE49D8" w:rsidP="00F33AA6">
            <w:pPr>
              <w:jc w:val="both"/>
            </w:pPr>
            <w:r>
              <w:rPr>
                <w:sz w:val="22"/>
                <w:szCs w:val="22"/>
              </w:rPr>
              <w:t>Garo katilo Nr.</w:t>
            </w:r>
            <w:r w:rsidR="001470F3">
              <w:rPr>
                <w:sz w:val="22"/>
                <w:szCs w:val="22"/>
              </w:rPr>
              <w:t xml:space="preserve"> </w:t>
            </w:r>
            <w:r>
              <w:rPr>
                <w:sz w:val="22"/>
                <w:szCs w:val="22"/>
              </w:rPr>
              <w:t>3 pelenų valymo sistemos įrengimas</w:t>
            </w:r>
          </w:p>
        </w:tc>
        <w:tc>
          <w:tcPr>
            <w:tcW w:w="1417" w:type="dxa"/>
            <w:shd w:val="clear" w:color="auto" w:fill="auto"/>
          </w:tcPr>
          <w:p w14:paraId="55AF630A" w14:textId="77777777" w:rsidR="00BE49D8" w:rsidRPr="000153AC" w:rsidRDefault="00BE49D8" w:rsidP="00F33AA6">
            <w:pPr>
              <w:jc w:val="both"/>
            </w:pPr>
            <w:r w:rsidRPr="000153AC">
              <w:rPr>
                <w:sz w:val="22"/>
                <w:szCs w:val="22"/>
              </w:rPr>
              <w:t>Bendrovės lėšos</w:t>
            </w:r>
          </w:p>
        </w:tc>
        <w:tc>
          <w:tcPr>
            <w:tcW w:w="1559" w:type="dxa"/>
            <w:shd w:val="clear" w:color="auto" w:fill="auto"/>
          </w:tcPr>
          <w:p w14:paraId="55AF630B" w14:textId="77777777" w:rsidR="00BE49D8" w:rsidRPr="000153AC" w:rsidRDefault="00BE49D8" w:rsidP="00F33AA6">
            <w:pPr>
              <w:jc w:val="both"/>
            </w:pPr>
            <w:r>
              <w:rPr>
                <w:sz w:val="22"/>
                <w:szCs w:val="22"/>
              </w:rPr>
              <w:t>60</w:t>
            </w:r>
          </w:p>
        </w:tc>
        <w:tc>
          <w:tcPr>
            <w:tcW w:w="1276" w:type="dxa"/>
            <w:shd w:val="clear" w:color="auto" w:fill="auto"/>
          </w:tcPr>
          <w:p w14:paraId="55AF630C" w14:textId="77777777" w:rsidR="00BE49D8" w:rsidRPr="000153AC" w:rsidRDefault="00BE49D8" w:rsidP="00F33AA6">
            <w:pPr>
              <w:jc w:val="both"/>
            </w:pPr>
            <w:r>
              <w:rPr>
                <w:sz w:val="22"/>
                <w:szCs w:val="22"/>
              </w:rPr>
              <w:t>60</w:t>
            </w:r>
          </w:p>
        </w:tc>
        <w:tc>
          <w:tcPr>
            <w:tcW w:w="2126" w:type="dxa"/>
          </w:tcPr>
          <w:p w14:paraId="55AF630D" w14:textId="77777777" w:rsidR="00BE49D8" w:rsidRPr="000153AC" w:rsidRDefault="00BE49D8" w:rsidP="00BE49D8">
            <w:r>
              <w:rPr>
                <w:sz w:val="22"/>
                <w:szCs w:val="22"/>
              </w:rPr>
              <w:t>Rokiškio RK, Pramonės g. 7, Rokiškis</w:t>
            </w:r>
          </w:p>
        </w:tc>
      </w:tr>
      <w:tr w:rsidR="00BE49D8" w:rsidRPr="000153AC" w14:paraId="55AF6315" w14:textId="77777777" w:rsidTr="00BE49D8">
        <w:trPr>
          <w:trHeight w:val="558"/>
        </w:trPr>
        <w:tc>
          <w:tcPr>
            <w:tcW w:w="567" w:type="dxa"/>
            <w:tcBorders>
              <w:bottom w:val="single" w:sz="4" w:space="0" w:color="auto"/>
            </w:tcBorders>
            <w:shd w:val="clear" w:color="auto" w:fill="auto"/>
          </w:tcPr>
          <w:p w14:paraId="55AF630F" w14:textId="77777777" w:rsidR="00BE49D8" w:rsidRPr="000153AC" w:rsidRDefault="00BE49D8" w:rsidP="00F33AA6">
            <w:pPr>
              <w:jc w:val="both"/>
            </w:pPr>
            <w:r w:rsidRPr="000153AC">
              <w:rPr>
                <w:sz w:val="22"/>
                <w:szCs w:val="22"/>
              </w:rPr>
              <w:t>2</w:t>
            </w:r>
          </w:p>
        </w:tc>
        <w:tc>
          <w:tcPr>
            <w:tcW w:w="2694" w:type="dxa"/>
            <w:tcBorders>
              <w:bottom w:val="single" w:sz="4" w:space="0" w:color="auto"/>
            </w:tcBorders>
            <w:shd w:val="clear" w:color="auto" w:fill="auto"/>
          </w:tcPr>
          <w:p w14:paraId="55AF6310" w14:textId="77777777" w:rsidR="00BE49D8" w:rsidRPr="000153AC" w:rsidRDefault="00BE49D8" w:rsidP="00F33AA6">
            <w:pPr>
              <w:jc w:val="both"/>
            </w:pPr>
            <w:r>
              <w:rPr>
                <w:sz w:val="22"/>
                <w:szCs w:val="22"/>
              </w:rPr>
              <w:t>Nuotolinio</w:t>
            </w:r>
            <w:r w:rsidRPr="000C6A4A">
              <w:rPr>
                <w:sz w:val="22"/>
                <w:szCs w:val="22"/>
              </w:rPr>
              <w:t xml:space="preserve"> duomenų nuskaitymo, informacijos perdavimo ir apdorojimo sistemos išplėtimas</w:t>
            </w:r>
          </w:p>
        </w:tc>
        <w:tc>
          <w:tcPr>
            <w:tcW w:w="1417" w:type="dxa"/>
            <w:tcBorders>
              <w:bottom w:val="single" w:sz="4" w:space="0" w:color="auto"/>
            </w:tcBorders>
            <w:shd w:val="clear" w:color="auto" w:fill="auto"/>
          </w:tcPr>
          <w:p w14:paraId="55AF6311" w14:textId="77777777" w:rsidR="00BE49D8" w:rsidRPr="000153AC" w:rsidRDefault="00BE49D8" w:rsidP="00F33AA6">
            <w:pPr>
              <w:jc w:val="both"/>
            </w:pPr>
            <w:r w:rsidRPr="000153AC">
              <w:rPr>
                <w:sz w:val="22"/>
                <w:szCs w:val="22"/>
              </w:rPr>
              <w:t>Bendrovės lėšos</w:t>
            </w:r>
          </w:p>
        </w:tc>
        <w:tc>
          <w:tcPr>
            <w:tcW w:w="1559" w:type="dxa"/>
            <w:tcBorders>
              <w:bottom w:val="single" w:sz="4" w:space="0" w:color="auto"/>
            </w:tcBorders>
            <w:shd w:val="clear" w:color="auto" w:fill="auto"/>
          </w:tcPr>
          <w:p w14:paraId="55AF6312" w14:textId="77777777" w:rsidR="00BE49D8" w:rsidRPr="000153AC" w:rsidRDefault="00BE49D8" w:rsidP="00F33AA6">
            <w:pPr>
              <w:jc w:val="both"/>
            </w:pPr>
            <w:r>
              <w:rPr>
                <w:sz w:val="22"/>
                <w:szCs w:val="22"/>
              </w:rPr>
              <w:t>6</w:t>
            </w:r>
          </w:p>
        </w:tc>
        <w:tc>
          <w:tcPr>
            <w:tcW w:w="1276" w:type="dxa"/>
            <w:tcBorders>
              <w:bottom w:val="single" w:sz="4" w:space="0" w:color="auto"/>
            </w:tcBorders>
            <w:shd w:val="clear" w:color="auto" w:fill="auto"/>
          </w:tcPr>
          <w:p w14:paraId="55AF6313" w14:textId="77777777" w:rsidR="00BE49D8" w:rsidRPr="000153AC" w:rsidRDefault="00BE49D8" w:rsidP="00F33AA6">
            <w:pPr>
              <w:jc w:val="both"/>
            </w:pPr>
            <w:r>
              <w:rPr>
                <w:sz w:val="22"/>
                <w:szCs w:val="22"/>
              </w:rPr>
              <w:t>6</w:t>
            </w:r>
          </w:p>
        </w:tc>
        <w:tc>
          <w:tcPr>
            <w:tcW w:w="2126" w:type="dxa"/>
            <w:tcBorders>
              <w:bottom w:val="single" w:sz="4" w:space="0" w:color="auto"/>
            </w:tcBorders>
          </w:tcPr>
          <w:p w14:paraId="55AF6314" w14:textId="77777777" w:rsidR="00BE49D8" w:rsidRPr="000153AC" w:rsidRDefault="00BE49D8" w:rsidP="00BE49D8">
            <w:r>
              <w:rPr>
                <w:sz w:val="22"/>
                <w:szCs w:val="22"/>
              </w:rPr>
              <w:t>Bajorų RK</w:t>
            </w:r>
          </w:p>
        </w:tc>
      </w:tr>
      <w:tr w:rsidR="00BE49D8" w:rsidRPr="000153AC" w14:paraId="55AF631C" w14:textId="77777777" w:rsidTr="00BE49D8">
        <w:trPr>
          <w:trHeight w:val="558"/>
        </w:trPr>
        <w:tc>
          <w:tcPr>
            <w:tcW w:w="567" w:type="dxa"/>
            <w:tcBorders>
              <w:bottom w:val="single" w:sz="4" w:space="0" w:color="auto"/>
            </w:tcBorders>
            <w:shd w:val="clear" w:color="auto" w:fill="auto"/>
          </w:tcPr>
          <w:p w14:paraId="55AF6316" w14:textId="77777777" w:rsidR="00BE49D8" w:rsidRPr="000153AC" w:rsidRDefault="00BE49D8" w:rsidP="00F33AA6">
            <w:pPr>
              <w:jc w:val="both"/>
            </w:pPr>
            <w:r>
              <w:rPr>
                <w:sz w:val="22"/>
                <w:szCs w:val="22"/>
              </w:rPr>
              <w:t>3</w:t>
            </w:r>
          </w:p>
        </w:tc>
        <w:tc>
          <w:tcPr>
            <w:tcW w:w="2694" w:type="dxa"/>
            <w:tcBorders>
              <w:bottom w:val="single" w:sz="4" w:space="0" w:color="auto"/>
            </w:tcBorders>
            <w:shd w:val="clear" w:color="auto" w:fill="auto"/>
          </w:tcPr>
          <w:p w14:paraId="55AF6317" w14:textId="77777777" w:rsidR="00BE49D8" w:rsidRPr="000153AC" w:rsidRDefault="00BE49D8" w:rsidP="00F33AA6">
            <w:pPr>
              <w:jc w:val="both"/>
            </w:pPr>
            <w:r>
              <w:rPr>
                <w:sz w:val="22"/>
                <w:szCs w:val="22"/>
              </w:rPr>
              <w:t>Garotiekio tinklų nuo Rokiškio RK iki UAB „</w:t>
            </w:r>
            <w:proofErr w:type="spellStart"/>
            <w:r>
              <w:rPr>
                <w:sz w:val="22"/>
                <w:szCs w:val="22"/>
              </w:rPr>
              <w:t>Daivida</w:t>
            </w:r>
            <w:proofErr w:type="spellEnd"/>
            <w:r>
              <w:rPr>
                <w:sz w:val="22"/>
                <w:szCs w:val="22"/>
              </w:rPr>
              <w:t>“ rekonstravimas</w:t>
            </w:r>
          </w:p>
        </w:tc>
        <w:tc>
          <w:tcPr>
            <w:tcW w:w="1417" w:type="dxa"/>
            <w:tcBorders>
              <w:bottom w:val="single" w:sz="4" w:space="0" w:color="auto"/>
            </w:tcBorders>
            <w:shd w:val="clear" w:color="auto" w:fill="auto"/>
          </w:tcPr>
          <w:p w14:paraId="55AF6318" w14:textId="77777777" w:rsidR="00BE49D8" w:rsidRPr="000153AC" w:rsidRDefault="00BE49D8" w:rsidP="00F33AA6">
            <w:pPr>
              <w:jc w:val="both"/>
            </w:pPr>
            <w:r>
              <w:rPr>
                <w:sz w:val="22"/>
                <w:szCs w:val="22"/>
              </w:rPr>
              <w:t>Bendrovės lėšos</w:t>
            </w:r>
          </w:p>
        </w:tc>
        <w:tc>
          <w:tcPr>
            <w:tcW w:w="1559" w:type="dxa"/>
            <w:tcBorders>
              <w:bottom w:val="single" w:sz="4" w:space="0" w:color="auto"/>
            </w:tcBorders>
            <w:shd w:val="clear" w:color="auto" w:fill="auto"/>
          </w:tcPr>
          <w:p w14:paraId="55AF6319" w14:textId="77777777" w:rsidR="00BE49D8" w:rsidRPr="000153AC" w:rsidRDefault="00BE49D8" w:rsidP="00F33AA6">
            <w:pPr>
              <w:jc w:val="both"/>
            </w:pPr>
            <w:r>
              <w:rPr>
                <w:sz w:val="22"/>
                <w:szCs w:val="22"/>
              </w:rPr>
              <w:t>15</w:t>
            </w:r>
          </w:p>
        </w:tc>
        <w:tc>
          <w:tcPr>
            <w:tcW w:w="1276" w:type="dxa"/>
            <w:tcBorders>
              <w:bottom w:val="single" w:sz="4" w:space="0" w:color="auto"/>
            </w:tcBorders>
            <w:shd w:val="clear" w:color="auto" w:fill="auto"/>
          </w:tcPr>
          <w:p w14:paraId="55AF631A" w14:textId="77777777" w:rsidR="00BE49D8" w:rsidRPr="000153AC" w:rsidRDefault="00BE49D8" w:rsidP="00F33AA6">
            <w:pPr>
              <w:jc w:val="both"/>
            </w:pPr>
            <w:r>
              <w:rPr>
                <w:sz w:val="22"/>
                <w:szCs w:val="22"/>
              </w:rPr>
              <w:t>14</w:t>
            </w:r>
          </w:p>
        </w:tc>
        <w:tc>
          <w:tcPr>
            <w:tcW w:w="2126" w:type="dxa"/>
            <w:tcBorders>
              <w:bottom w:val="single" w:sz="4" w:space="0" w:color="auto"/>
            </w:tcBorders>
          </w:tcPr>
          <w:p w14:paraId="45E485FC" w14:textId="026EFC41" w:rsidR="001470F3" w:rsidRDefault="00BE49D8" w:rsidP="001470F3">
            <w:r>
              <w:rPr>
                <w:sz w:val="22"/>
                <w:szCs w:val="22"/>
              </w:rPr>
              <w:t>Tęstinė investicija: 2015</w:t>
            </w:r>
            <w:r w:rsidRPr="000153AC">
              <w:rPr>
                <w:sz w:val="22"/>
                <w:szCs w:val="22"/>
              </w:rPr>
              <w:t xml:space="preserve"> m. </w:t>
            </w:r>
            <w:r>
              <w:rPr>
                <w:sz w:val="22"/>
                <w:szCs w:val="22"/>
              </w:rPr>
              <w:t xml:space="preserve">- 1 tūkst. </w:t>
            </w:r>
            <w:proofErr w:type="spellStart"/>
            <w:r w:rsidR="001470F3">
              <w:rPr>
                <w:sz w:val="22"/>
                <w:szCs w:val="22"/>
              </w:rPr>
              <w:t>Eur</w:t>
            </w:r>
            <w:proofErr w:type="spellEnd"/>
            <w:r w:rsidR="001470F3">
              <w:rPr>
                <w:sz w:val="22"/>
                <w:szCs w:val="22"/>
              </w:rPr>
              <w:t>,</w:t>
            </w:r>
          </w:p>
          <w:p w14:paraId="55AF631B" w14:textId="163ECDEF" w:rsidR="00BE49D8" w:rsidRPr="000153AC" w:rsidRDefault="00BE49D8" w:rsidP="001470F3">
            <w:r>
              <w:rPr>
                <w:sz w:val="22"/>
                <w:szCs w:val="22"/>
              </w:rPr>
              <w:t>2016</w:t>
            </w:r>
            <w:r w:rsidRPr="000153AC">
              <w:rPr>
                <w:sz w:val="22"/>
                <w:szCs w:val="22"/>
              </w:rPr>
              <w:t xml:space="preserve"> m. </w:t>
            </w:r>
            <w:r>
              <w:rPr>
                <w:sz w:val="22"/>
                <w:szCs w:val="22"/>
              </w:rPr>
              <w:t>- 14</w:t>
            </w:r>
            <w:r w:rsidRPr="000153AC">
              <w:rPr>
                <w:sz w:val="22"/>
                <w:szCs w:val="22"/>
              </w:rPr>
              <w:t xml:space="preserve"> tūkst. </w:t>
            </w:r>
            <w:proofErr w:type="spellStart"/>
            <w:r w:rsidR="001470F3">
              <w:rPr>
                <w:sz w:val="22"/>
                <w:szCs w:val="22"/>
              </w:rPr>
              <w:t>Eur</w:t>
            </w:r>
            <w:proofErr w:type="spellEnd"/>
          </w:p>
        </w:tc>
      </w:tr>
      <w:tr w:rsidR="00BE49D8" w:rsidRPr="000153AC" w14:paraId="55AF6323" w14:textId="77777777" w:rsidTr="00BE49D8">
        <w:trPr>
          <w:trHeight w:val="558"/>
        </w:trPr>
        <w:tc>
          <w:tcPr>
            <w:tcW w:w="567" w:type="dxa"/>
            <w:tcBorders>
              <w:bottom w:val="dashSmallGap" w:sz="4" w:space="0" w:color="auto"/>
            </w:tcBorders>
            <w:shd w:val="clear" w:color="auto" w:fill="auto"/>
          </w:tcPr>
          <w:p w14:paraId="55AF631D" w14:textId="6AF4F547" w:rsidR="00BE49D8" w:rsidRPr="000153AC" w:rsidRDefault="00BE49D8" w:rsidP="00F33AA6">
            <w:pPr>
              <w:jc w:val="both"/>
            </w:pPr>
            <w:r>
              <w:rPr>
                <w:sz w:val="22"/>
                <w:szCs w:val="22"/>
              </w:rPr>
              <w:t>4</w:t>
            </w:r>
          </w:p>
        </w:tc>
        <w:tc>
          <w:tcPr>
            <w:tcW w:w="2694" w:type="dxa"/>
            <w:tcBorders>
              <w:bottom w:val="dashSmallGap" w:sz="4" w:space="0" w:color="auto"/>
            </w:tcBorders>
            <w:shd w:val="clear" w:color="auto" w:fill="auto"/>
          </w:tcPr>
          <w:p w14:paraId="55AF631E" w14:textId="77777777" w:rsidR="00BE49D8" w:rsidRPr="000153AC" w:rsidRDefault="00BE49D8" w:rsidP="00F33AA6">
            <w:pPr>
              <w:jc w:val="both"/>
            </w:pPr>
            <w:r w:rsidRPr="000153AC">
              <w:rPr>
                <w:sz w:val="22"/>
                <w:szCs w:val="22"/>
              </w:rPr>
              <w:t>Bendrųjų poreikių investicijos</w:t>
            </w:r>
          </w:p>
        </w:tc>
        <w:tc>
          <w:tcPr>
            <w:tcW w:w="1417" w:type="dxa"/>
            <w:tcBorders>
              <w:bottom w:val="dashSmallGap" w:sz="4" w:space="0" w:color="auto"/>
            </w:tcBorders>
            <w:shd w:val="clear" w:color="auto" w:fill="auto"/>
          </w:tcPr>
          <w:p w14:paraId="55AF631F" w14:textId="77777777" w:rsidR="00BE49D8" w:rsidRPr="000153AC" w:rsidRDefault="00BE49D8" w:rsidP="00F33AA6">
            <w:pPr>
              <w:jc w:val="both"/>
            </w:pPr>
            <w:r w:rsidRPr="000153AC">
              <w:rPr>
                <w:sz w:val="22"/>
                <w:szCs w:val="22"/>
              </w:rPr>
              <w:t>Bendrovės lėšos</w:t>
            </w:r>
          </w:p>
        </w:tc>
        <w:tc>
          <w:tcPr>
            <w:tcW w:w="1559" w:type="dxa"/>
            <w:tcBorders>
              <w:bottom w:val="dashSmallGap" w:sz="4" w:space="0" w:color="auto"/>
            </w:tcBorders>
            <w:shd w:val="clear" w:color="auto" w:fill="auto"/>
          </w:tcPr>
          <w:p w14:paraId="55AF6320" w14:textId="77777777" w:rsidR="00BE49D8" w:rsidRPr="000153AC" w:rsidRDefault="00BE49D8" w:rsidP="00F33AA6">
            <w:pPr>
              <w:jc w:val="both"/>
            </w:pPr>
            <w:r w:rsidRPr="000153AC">
              <w:rPr>
                <w:sz w:val="22"/>
                <w:szCs w:val="22"/>
              </w:rPr>
              <w:t>686</w:t>
            </w:r>
          </w:p>
        </w:tc>
        <w:tc>
          <w:tcPr>
            <w:tcW w:w="1276" w:type="dxa"/>
            <w:tcBorders>
              <w:bottom w:val="dashSmallGap" w:sz="4" w:space="0" w:color="auto"/>
            </w:tcBorders>
            <w:shd w:val="clear" w:color="auto" w:fill="auto"/>
          </w:tcPr>
          <w:p w14:paraId="55AF6321" w14:textId="77777777" w:rsidR="00BE49D8" w:rsidRPr="000153AC" w:rsidRDefault="00BE49D8" w:rsidP="00F33AA6">
            <w:pPr>
              <w:jc w:val="both"/>
            </w:pPr>
            <w:r w:rsidRPr="000153AC">
              <w:rPr>
                <w:sz w:val="22"/>
                <w:szCs w:val="22"/>
              </w:rPr>
              <w:t>686</w:t>
            </w:r>
          </w:p>
        </w:tc>
        <w:tc>
          <w:tcPr>
            <w:tcW w:w="2126" w:type="dxa"/>
            <w:tcBorders>
              <w:bottom w:val="dashSmallGap" w:sz="4" w:space="0" w:color="auto"/>
            </w:tcBorders>
          </w:tcPr>
          <w:p w14:paraId="55AF6322" w14:textId="77777777" w:rsidR="00BE49D8" w:rsidRPr="000153AC" w:rsidRDefault="00BE49D8" w:rsidP="00BE49D8">
            <w:r>
              <w:rPr>
                <w:sz w:val="22"/>
                <w:szCs w:val="22"/>
              </w:rPr>
              <w:t xml:space="preserve">Bendros </w:t>
            </w:r>
            <w:r w:rsidRPr="000153AC">
              <w:rPr>
                <w:sz w:val="22"/>
                <w:szCs w:val="22"/>
              </w:rPr>
              <w:t>visiems</w:t>
            </w:r>
            <w:r>
              <w:rPr>
                <w:sz w:val="22"/>
                <w:szCs w:val="22"/>
              </w:rPr>
              <w:t xml:space="preserve"> bendrovės</w:t>
            </w:r>
            <w:r w:rsidRPr="000153AC">
              <w:rPr>
                <w:sz w:val="22"/>
                <w:szCs w:val="22"/>
              </w:rPr>
              <w:t xml:space="preserve"> šilumos tinklų rajonams</w:t>
            </w:r>
          </w:p>
        </w:tc>
      </w:tr>
      <w:tr w:rsidR="00BE49D8" w:rsidRPr="000C6A4A" w14:paraId="55AF632A" w14:textId="77777777" w:rsidTr="00BE49D8">
        <w:trPr>
          <w:trHeight w:val="558"/>
        </w:trPr>
        <w:tc>
          <w:tcPr>
            <w:tcW w:w="567" w:type="dxa"/>
            <w:tcBorders>
              <w:top w:val="dashSmallGap" w:sz="4" w:space="0" w:color="auto"/>
              <w:bottom w:val="dashSmallGap" w:sz="4" w:space="0" w:color="auto"/>
            </w:tcBorders>
            <w:shd w:val="clear" w:color="auto" w:fill="auto"/>
          </w:tcPr>
          <w:p w14:paraId="55AF6324" w14:textId="77777777" w:rsidR="00BE49D8" w:rsidRPr="005942D9" w:rsidRDefault="00BE49D8" w:rsidP="00F33AA6">
            <w:pPr>
              <w:jc w:val="both"/>
              <w:rPr>
                <w:i/>
              </w:rPr>
            </w:pPr>
            <w:r>
              <w:rPr>
                <w:i/>
                <w:sz w:val="22"/>
                <w:szCs w:val="22"/>
              </w:rPr>
              <w:t>4</w:t>
            </w:r>
            <w:r w:rsidRPr="005942D9">
              <w:rPr>
                <w:i/>
                <w:sz w:val="22"/>
                <w:szCs w:val="22"/>
              </w:rPr>
              <w:t>.1</w:t>
            </w:r>
          </w:p>
        </w:tc>
        <w:tc>
          <w:tcPr>
            <w:tcW w:w="2694" w:type="dxa"/>
            <w:tcBorders>
              <w:top w:val="dashSmallGap" w:sz="4" w:space="0" w:color="auto"/>
              <w:bottom w:val="dashSmallGap" w:sz="4" w:space="0" w:color="auto"/>
            </w:tcBorders>
            <w:shd w:val="clear" w:color="auto" w:fill="auto"/>
          </w:tcPr>
          <w:p w14:paraId="55AF6325" w14:textId="77777777" w:rsidR="00BE49D8" w:rsidRPr="005942D9" w:rsidRDefault="00BE49D8" w:rsidP="00F33AA6">
            <w:pPr>
              <w:jc w:val="both"/>
              <w:rPr>
                <w:i/>
              </w:rPr>
            </w:pPr>
            <w:r w:rsidRPr="005942D9">
              <w:rPr>
                <w:i/>
                <w:sz w:val="22"/>
                <w:szCs w:val="22"/>
              </w:rPr>
              <w:t>Naujų šilumos vartotojų pajungimas</w:t>
            </w:r>
          </w:p>
        </w:tc>
        <w:tc>
          <w:tcPr>
            <w:tcW w:w="1417" w:type="dxa"/>
            <w:tcBorders>
              <w:top w:val="dashSmallGap" w:sz="4" w:space="0" w:color="auto"/>
              <w:bottom w:val="dashSmallGap" w:sz="4" w:space="0" w:color="auto"/>
            </w:tcBorders>
            <w:shd w:val="clear" w:color="auto" w:fill="auto"/>
          </w:tcPr>
          <w:p w14:paraId="55AF6326" w14:textId="77777777" w:rsidR="00BE49D8" w:rsidRPr="005942D9" w:rsidRDefault="00BE49D8" w:rsidP="00F33AA6">
            <w:pPr>
              <w:jc w:val="both"/>
              <w:rPr>
                <w:i/>
              </w:rPr>
            </w:pPr>
            <w:r w:rsidRPr="005942D9">
              <w:rPr>
                <w:i/>
                <w:sz w:val="22"/>
                <w:szCs w:val="22"/>
              </w:rPr>
              <w:t>Bendrovės lėšos</w:t>
            </w:r>
          </w:p>
        </w:tc>
        <w:tc>
          <w:tcPr>
            <w:tcW w:w="1559" w:type="dxa"/>
            <w:tcBorders>
              <w:top w:val="dashSmallGap" w:sz="4" w:space="0" w:color="auto"/>
              <w:bottom w:val="dashSmallGap" w:sz="4" w:space="0" w:color="auto"/>
            </w:tcBorders>
            <w:shd w:val="clear" w:color="auto" w:fill="auto"/>
          </w:tcPr>
          <w:p w14:paraId="55AF6327" w14:textId="77777777" w:rsidR="00BE49D8" w:rsidRPr="005942D9" w:rsidRDefault="00BE49D8" w:rsidP="00F33AA6">
            <w:pPr>
              <w:jc w:val="both"/>
              <w:rPr>
                <w:i/>
              </w:rPr>
            </w:pPr>
            <w:r w:rsidRPr="005942D9">
              <w:rPr>
                <w:i/>
                <w:sz w:val="22"/>
                <w:szCs w:val="22"/>
              </w:rPr>
              <w:t>150</w:t>
            </w:r>
          </w:p>
        </w:tc>
        <w:tc>
          <w:tcPr>
            <w:tcW w:w="1276" w:type="dxa"/>
            <w:tcBorders>
              <w:top w:val="dashSmallGap" w:sz="4" w:space="0" w:color="auto"/>
              <w:bottom w:val="dashSmallGap" w:sz="4" w:space="0" w:color="auto"/>
            </w:tcBorders>
            <w:shd w:val="clear" w:color="auto" w:fill="auto"/>
          </w:tcPr>
          <w:p w14:paraId="55AF6328" w14:textId="77777777" w:rsidR="00BE49D8" w:rsidRPr="005942D9" w:rsidRDefault="00BE49D8" w:rsidP="00F33AA6">
            <w:pPr>
              <w:jc w:val="both"/>
              <w:rPr>
                <w:i/>
              </w:rPr>
            </w:pPr>
            <w:r w:rsidRPr="005942D9">
              <w:rPr>
                <w:i/>
                <w:sz w:val="22"/>
                <w:szCs w:val="22"/>
              </w:rPr>
              <w:t>150</w:t>
            </w:r>
          </w:p>
        </w:tc>
        <w:tc>
          <w:tcPr>
            <w:tcW w:w="2126" w:type="dxa"/>
            <w:tcBorders>
              <w:top w:val="dashSmallGap" w:sz="4" w:space="0" w:color="auto"/>
              <w:bottom w:val="dashSmallGap" w:sz="4" w:space="0" w:color="auto"/>
            </w:tcBorders>
          </w:tcPr>
          <w:p w14:paraId="55AF6329" w14:textId="77777777" w:rsidR="00BE49D8" w:rsidRPr="005942D9" w:rsidRDefault="00BE49D8" w:rsidP="00F33AA6">
            <w:pPr>
              <w:jc w:val="both"/>
              <w:rPr>
                <w:i/>
              </w:rPr>
            </w:pPr>
          </w:p>
        </w:tc>
      </w:tr>
      <w:tr w:rsidR="00BE49D8" w:rsidRPr="000C6A4A" w14:paraId="55AF6331" w14:textId="77777777" w:rsidTr="00BE49D8">
        <w:trPr>
          <w:trHeight w:val="558"/>
        </w:trPr>
        <w:tc>
          <w:tcPr>
            <w:tcW w:w="567" w:type="dxa"/>
            <w:tcBorders>
              <w:top w:val="dashSmallGap" w:sz="4" w:space="0" w:color="auto"/>
              <w:bottom w:val="dashSmallGap" w:sz="4" w:space="0" w:color="auto"/>
            </w:tcBorders>
            <w:shd w:val="clear" w:color="auto" w:fill="auto"/>
          </w:tcPr>
          <w:p w14:paraId="55AF632B" w14:textId="77777777" w:rsidR="00BE49D8" w:rsidRPr="005942D9" w:rsidRDefault="00BE49D8" w:rsidP="00F33AA6">
            <w:pPr>
              <w:jc w:val="both"/>
              <w:rPr>
                <w:i/>
              </w:rPr>
            </w:pPr>
            <w:r>
              <w:rPr>
                <w:i/>
                <w:sz w:val="22"/>
                <w:szCs w:val="22"/>
              </w:rPr>
              <w:t>4</w:t>
            </w:r>
            <w:r w:rsidRPr="005942D9">
              <w:rPr>
                <w:i/>
                <w:sz w:val="22"/>
                <w:szCs w:val="22"/>
              </w:rPr>
              <w:t>.2</w:t>
            </w:r>
          </w:p>
        </w:tc>
        <w:tc>
          <w:tcPr>
            <w:tcW w:w="2694" w:type="dxa"/>
            <w:tcBorders>
              <w:top w:val="dashSmallGap" w:sz="4" w:space="0" w:color="auto"/>
              <w:bottom w:val="dashSmallGap" w:sz="4" w:space="0" w:color="auto"/>
            </w:tcBorders>
            <w:shd w:val="clear" w:color="auto" w:fill="auto"/>
          </w:tcPr>
          <w:p w14:paraId="55AF632C" w14:textId="77777777" w:rsidR="00BE49D8" w:rsidRPr="005942D9" w:rsidRDefault="00BE49D8" w:rsidP="00F33AA6">
            <w:pPr>
              <w:jc w:val="both"/>
              <w:rPr>
                <w:i/>
              </w:rPr>
            </w:pPr>
            <w:r w:rsidRPr="005942D9">
              <w:rPr>
                <w:i/>
                <w:sz w:val="22"/>
                <w:szCs w:val="22"/>
              </w:rPr>
              <w:t>Šilumos gamybos išlaidų mažinimo priemonių planas</w:t>
            </w:r>
          </w:p>
        </w:tc>
        <w:tc>
          <w:tcPr>
            <w:tcW w:w="1417" w:type="dxa"/>
            <w:tcBorders>
              <w:top w:val="dashSmallGap" w:sz="4" w:space="0" w:color="auto"/>
              <w:bottom w:val="dashSmallGap" w:sz="4" w:space="0" w:color="auto"/>
            </w:tcBorders>
            <w:shd w:val="clear" w:color="auto" w:fill="auto"/>
          </w:tcPr>
          <w:p w14:paraId="55AF632D" w14:textId="77777777" w:rsidR="00BE49D8" w:rsidRPr="005942D9" w:rsidRDefault="00BE49D8" w:rsidP="00F33AA6">
            <w:pPr>
              <w:jc w:val="both"/>
              <w:rPr>
                <w:i/>
              </w:rPr>
            </w:pPr>
            <w:r w:rsidRPr="005942D9">
              <w:rPr>
                <w:i/>
                <w:sz w:val="22"/>
                <w:szCs w:val="22"/>
              </w:rPr>
              <w:t>Bendrovės lėšos</w:t>
            </w:r>
          </w:p>
        </w:tc>
        <w:tc>
          <w:tcPr>
            <w:tcW w:w="1559" w:type="dxa"/>
            <w:tcBorders>
              <w:top w:val="dashSmallGap" w:sz="4" w:space="0" w:color="auto"/>
              <w:bottom w:val="dashSmallGap" w:sz="4" w:space="0" w:color="auto"/>
            </w:tcBorders>
            <w:shd w:val="clear" w:color="auto" w:fill="auto"/>
          </w:tcPr>
          <w:p w14:paraId="55AF632E" w14:textId="77777777" w:rsidR="00BE49D8" w:rsidRPr="005942D9" w:rsidRDefault="00BE49D8" w:rsidP="00F33AA6">
            <w:pPr>
              <w:jc w:val="both"/>
              <w:rPr>
                <w:i/>
              </w:rPr>
            </w:pPr>
            <w:r w:rsidRPr="005942D9">
              <w:rPr>
                <w:i/>
                <w:sz w:val="22"/>
                <w:szCs w:val="22"/>
              </w:rPr>
              <w:t>99</w:t>
            </w:r>
          </w:p>
        </w:tc>
        <w:tc>
          <w:tcPr>
            <w:tcW w:w="1276" w:type="dxa"/>
            <w:tcBorders>
              <w:top w:val="dashSmallGap" w:sz="4" w:space="0" w:color="auto"/>
              <w:bottom w:val="dashSmallGap" w:sz="4" w:space="0" w:color="auto"/>
            </w:tcBorders>
            <w:shd w:val="clear" w:color="auto" w:fill="auto"/>
          </w:tcPr>
          <w:p w14:paraId="55AF632F" w14:textId="77777777" w:rsidR="00BE49D8" w:rsidRPr="005942D9" w:rsidRDefault="00BE49D8" w:rsidP="00F33AA6">
            <w:pPr>
              <w:jc w:val="both"/>
              <w:rPr>
                <w:i/>
              </w:rPr>
            </w:pPr>
            <w:r w:rsidRPr="005942D9">
              <w:rPr>
                <w:i/>
                <w:sz w:val="22"/>
                <w:szCs w:val="22"/>
              </w:rPr>
              <w:t>99</w:t>
            </w:r>
          </w:p>
        </w:tc>
        <w:tc>
          <w:tcPr>
            <w:tcW w:w="2126" w:type="dxa"/>
            <w:tcBorders>
              <w:top w:val="dashSmallGap" w:sz="4" w:space="0" w:color="auto"/>
              <w:bottom w:val="dashSmallGap" w:sz="4" w:space="0" w:color="auto"/>
            </w:tcBorders>
          </w:tcPr>
          <w:p w14:paraId="55AF6330" w14:textId="77777777" w:rsidR="00BE49D8" w:rsidRPr="005942D9" w:rsidRDefault="00BE49D8" w:rsidP="00F33AA6">
            <w:pPr>
              <w:jc w:val="both"/>
              <w:rPr>
                <w:i/>
              </w:rPr>
            </w:pPr>
          </w:p>
        </w:tc>
      </w:tr>
      <w:tr w:rsidR="00BE49D8" w:rsidRPr="000C6A4A" w14:paraId="55AF6338" w14:textId="77777777" w:rsidTr="00BE49D8">
        <w:trPr>
          <w:trHeight w:val="558"/>
        </w:trPr>
        <w:tc>
          <w:tcPr>
            <w:tcW w:w="567" w:type="dxa"/>
            <w:tcBorders>
              <w:top w:val="dashSmallGap" w:sz="4" w:space="0" w:color="auto"/>
              <w:bottom w:val="dashSmallGap" w:sz="4" w:space="0" w:color="auto"/>
            </w:tcBorders>
            <w:shd w:val="clear" w:color="auto" w:fill="auto"/>
          </w:tcPr>
          <w:p w14:paraId="55AF6332" w14:textId="77777777" w:rsidR="00BE49D8" w:rsidRPr="005942D9" w:rsidRDefault="00BE49D8" w:rsidP="00F33AA6">
            <w:pPr>
              <w:jc w:val="both"/>
              <w:rPr>
                <w:i/>
              </w:rPr>
            </w:pPr>
            <w:r>
              <w:rPr>
                <w:i/>
                <w:sz w:val="22"/>
                <w:szCs w:val="22"/>
              </w:rPr>
              <w:t>4</w:t>
            </w:r>
            <w:r w:rsidRPr="005942D9">
              <w:rPr>
                <w:i/>
                <w:sz w:val="22"/>
                <w:szCs w:val="22"/>
              </w:rPr>
              <w:t>.3</w:t>
            </w:r>
          </w:p>
        </w:tc>
        <w:tc>
          <w:tcPr>
            <w:tcW w:w="2694" w:type="dxa"/>
            <w:tcBorders>
              <w:top w:val="dashSmallGap" w:sz="4" w:space="0" w:color="auto"/>
              <w:bottom w:val="dashSmallGap" w:sz="4" w:space="0" w:color="auto"/>
            </w:tcBorders>
            <w:shd w:val="clear" w:color="auto" w:fill="auto"/>
          </w:tcPr>
          <w:p w14:paraId="55AF6333" w14:textId="77777777" w:rsidR="00BE49D8" w:rsidRPr="005942D9" w:rsidRDefault="00BE49D8" w:rsidP="00F33AA6">
            <w:pPr>
              <w:jc w:val="both"/>
              <w:rPr>
                <w:i/>
              </w:rPr>
            </w:pPr>
            <w:r w:rsidRPr="005942D9">
              <w:rPr>
                <w:i/>
                <w:sz w:val="22"/>
                <w:szCs w:val="22"/>
              </w:rPr>
              <w:t>Projektavimas-konsultavimas</w:t>
            </w:r>
          </w:p>
        </w:tc>
        <w:tc>
          <w:tcPr>
            <w:tcW w:w="1417" w:type="dxa"/>
            <w:tcBorders>
              <w:top w:val="dashSmallGap" w:sz="4" w:space="0" w:color="auto"/>
              <w:bottom w:val="dashSmallGap" w:sz="4" w:space="0" w:color="auto"/>
            </w:tcBorders>
            <w:shd w:val="clear" w:color="auto" w:fill="auto"/>
          </w:tcPr>
          <w:p w14:paraId="55AF6334" w14:textId="77777777" w:rsidR="00BE49D8" w:rsidRPr="005942D9" w:rsidRDefault="00BE49D8" w:rsidP="00F33AA6">
            <w:pPr>
              <w:jc w:val="both"/>
              <w:rPr>
                <w:i/>
              </w:rPr>
            </w:pPr>
            <w:r w:rsidRPr="005942D9">
              <w:rPr>
                <w:i/>
                <w:sz w:val="22"/>
                <w:szCs w:val="22"/>
              </w:rPr>
              <w:t>Bendrovės lėšos</w:t>
            </w:r>
          </w:p>
        </w:tc>
        <w:tc>
          <w:tcPr>
            <w:tcW w:w="1559" w:type="dxa"/>
            <w:tcBorders>
              <w:top w:val="dashSmallGap" w:sz="4" w:space="0" w:color="auto"/>
              <w:bottom w:val="dashSmallGap" w:sz="4" w:space="0" w:color="auto"/>
            </w:tcBorders>
            <w:shd w:val="clear" w:color="auto" w:fill="auto"/>
          </w:tcPr>
          <w:p w14:paraId="55AF6335" w14:textId="77777777" w:rsidR="00BE49D8" w:rsidRPr="005942D9" w:rsidRDefault="00BE49D8" w:rsidP="00F33AA6">
            <w:pPr>
              <w:jc w:val="both"/>
              <w:rPr>
                <w:i/>
              </w:rPr>
            </w:pPr>
            <w:r w:rsidRPr="005942D9">
              <w:rPr>
                <w:i/>
                <w:sz w:val="22"/>
                <w:szCs w:val="22"/>
              </w:rPr>
              <w:t>50</w:t>
            </w:r>
          </w:p>
        </w:tc>
        <w:tc>
          <w:tcPr>
            <w:tcW w:w="1276" w:type="dxa"/>
            <w:tcBorders>
              <w:top w:val="dashSmallGap" w:sz="4" w:space="0" w:color="auto"/>
              <w:bottom w:val="dashSmallGap" w:sz="4" w:space="0" w:color="auto"/>
            </w:tcBorders>
            <w:shd w:val="clear" w:color="auto" w:fill="auto"/>
          </w:tcPr>
          <w:p w14:paraId="55AF6336" w14:textId="77777777" w:rsidR="00BE49D8" w:rsidRPr="005942D9" w:rsidRDefault="00BE49D8" w:rsidP="00F33AA6">
            <w:pPr>
              <w:jc w:val="both"/>
              <w:rPr>
                <w:i/>
              </w:rPr>
            </w:pPr>
            <w:r w:rsidRPr="005942D9">
              <w:rPr>
                <w:i/>
                <w:sz w:val="22"/>
                <w:szCs w:val="22"/>
              </w:rPr>
              <w:t>50</w:t>
            </w:r>
          </w:p>
        </w:tc>
        <w:tc>
          <w:tcPr>
            <w:tcW w:w="2126" w:type="dxa"/>
            <w:tcBorders>
              <w:top w:val="dashSmallGap" w:sz="4" w:space="0" w:color="auto"/>
              <w:bottom w:val="dashSmallGap" w:sz="4" w:space="0" w:color="auto"/>
            </w:tcBorders>
          </w:tcPr>
          <w:p w14:paraId="55AF6337" w14:textId="77777777" w:rsidR="00BE49D8" w:rsidRPr="005942D9" w:rsidRDefault="00BE49D8" w:rsidP="00F33AA6">
            <w:pPr>
              <w:jc w:val="both"/>
              <w:rPr>
                <w:i/>
              </w:rPr>
            </w:pPr>
          </w:p>
        </w:tc>
      </w:tr>
      <w:tr w:rsidR="00BE49D8" w:rsidRPr="000C6A4A" w14:paraId="55AF633F" w14:textId="77777777" w:rsidTr="00BE49D8">
        <w:trPr>
          <w:trHeight w:val="558"/>
        </w:trPr>
        <w:tc>
          <w:tcPr>
            <w:tcW w:w="567" w:type="dxa"/>
            <w:tcBorders>
              <w:top w:val="dashSmallGap" w:sz="4" w:space="0" w:color="auto"/>
              <w:bottom w:val="dashSmallGap" w:sz="4" w:space="0" w:color="auto"/>
            </w:tcBorders>
            <w:shd w:val="clear" w:color="auto" w:fill="auto"/>
          </w:tcPr>
          <w:p w14:paraId="55AF6339" w14:textId="77777777" w:rsidR="00BE49D8" w:rsidRPr="005942D9" w:rsidRDefault="00BE49D8" w:rsidP="00F33AA6">
            <w:pPr>
              <w:jc w:val="both"/>
              <w:rPr>
                <w:i/>
              </w:rPr>
            </w:pPr>
            <w:r>
              <w:rPr>
                <w:i/>
                <w:sz w:val="22"/>
                <w:szCs w:val="22"/>
              </w:rPr>
              <w:t>4</w:t>
            </w:r>
            <w:r w:rsidRPr="005942D9">
              <w:rPr>
                <w:i/>
                <w:sz w:val="22"/>
                <w:szCs w:val="22"/>
              </w:rPr>
              <w:t>.4</w:t>
            </w:r>
          </w:p>
        </w:tc>
        <w:tc>
          <w:tcPr>
            <w:tcW w:w="2694" w:type="dxa"/>
            <w:tcBorders>
              <w:top w:val="dashSmallGap" w:sz="4" w:space="0" w:color="auto"/>
              <w:bottom w:val="dashSmallGap" w:sz="4" w:space="0" w:color="auto"/>
            </w:tcBorders>
            <w:shd w:val="clear" w:color="auto" w:fill="auto"/>
          </w:tcPr>
          <w:p w14:paraId="55AF633A" w14:textId="77777777" w:rsidR="00BE49D8" w:rsidRPr="005942D9" w:rsidRDefault="00BE49D8" w:rsidP="00F33AA6">
            <w:pPr>
              <w:jc w:val="both"/>
              <w:rPr>
                <w:i/>
              </w:rPr>
            </w:pPr>
            <w:r w:rsidRPr="005942D9">
              <w:rPr>
                <w:i/>
                <w:sz w:val="22"/>
                <w:szCs w:val="22"/>
              </w:rPr>
              <w:t>Kompiuterinės ir programinės įrangos įsigijimas</w:t>
            </w:r>
          </w:p>
        </w:tc>
        <w:tc>
          <w:tcPr>
            <w:tcW w:w="1417" w:type="dxa"/>
            <w:tcBorders>
              <w:top w:val="dashSmallGap" w:sz="4" w:space="0" w:color="auto"/>
              <w:bottom w:val="dashSmallGap" w:sz="4" w:space="0" w:color="auto"/>
            </w:tcBorders>
            <w:shd w:val="clear" w:color="auto" w:fill="auto"/>
          </w:tcPr>
          <w:p w14:paraId="55AF633B" w14:textId="77777777" w:rsidR="00BE49D8" w:rsidRPr="005942D9" w:rsidRDefault="00BE49D8" w:rsidP="00F33AA6">
            <w:pPr>
              <w:jc w:val="both"/>
              <w:rPr>
                <w:i/>
              </w:rPr>
            </w:pPr>
            <w:r w:rsidRPr="005942D9">
              <w:rPr>
                <w:i/>
                <w:sz w:val="22"/>
                <w:szCs w:val="22"/>
              </w:rPr>
              <w:t>Bendrovės lėšos</w:t>
            </w:r>
          </w:p>
        </w:tc>
        <w:tc>
          <w:tcPr>
            <w:tcW w:w="1559" w:type="dxa"/>
            <w:tcBorders>
              <w:top w:val="dashSmallGap" w:sz="4" w:space="0" w:color="auto"/>
              <w:bottom w:val="dashSmallGap" w:sz="4" w:space="0" w:color="auto"/>
            </w:tcBorders>
            <w:shd w:val="clear" w:color="auto" w:fill="auto"/>
          </w:tcPr>
          <w:p w14:paraId="55AF633C" w14:textId="77777777" w:rsidR="00BE49D8" w:rsidRPr="005942D9" w:rsidRDefault="00BE49D8" w:rsidP="00F33AA6">
            <w:pPr>
              <w:jc w:val="both"/>
              <w:rPr>
                <w:i/>
              </w:rPr>
            </w:pPr>
            <w:r w:rsidRPr="005942D9">
              <w:rPr>
                <w:i/>
                <w:sz w:val="22"/>
                <w:szCs w:val="22"/>
              </w:rPr>
              <w:t>145</w:t>
            </w:r>
          </w:p>
        </w:tc>
        <w:tc>
          <w:tcPr>
            <w:tcW w:w="1276" w:type="dxa"/>
            <w:tcBorders>
              <w:top w:val="dashSmallGap" w:sz="4" w:space="0" w:color="auto"/>
              <w:bottom w:val="dashSmallGap" w:sz="4" w:space="0" w:color="auto"/>
            </w:tcBorders>
            <w:shd w:val="clear" w:color="auto" w:fill="auto"/>
          </w:tcPr>
          <w:p w14:paraId="55AF633D" w14:textId="77777777" w:rsidR="00BE49D8" w:rsidRPr="005942D9" w:rsidRDefault="00BE49D8" w:rsidP="00F33AA6">
            <w:pPr>
              <w:jc w:val="both"/>
              <w:rPr>
                <w:i/>
              </w:rPr>
            </w:pPr>
            <w:r w:rsidRPr="005942D9">
              <w:rPr>
                <w:i/>
                <w:sz w:val="22"/>
                <w:szCs w:val="22"/>
              </w:rPr>
              <w:t>145</w:t>
            </w:r>
          </w:p>
        </w:tc>
        <w:tc>
          <w:tcPr>
            <w:tcW w:w="2126" w:type="dxa"/>
            <w:tcBorders>
              <w:top w:val="dashSmallGap" w:sz="4" w:space="0" w:color="auto"/>
              <w:bottom w:val="dashSmallGap" w:sz="4" w:space="0" w:color="auto"/>
            </w:tcBorders>
          </w:tcPr>
          <w:p w14:paraId="55AF633E" w14:textId="77777777" w:rsidR="00BE49D8" w:rsidRPr="005942D9" w:rsidRDefault="00BE49D8" w:rsidP="00F33AA6">
            <w:pPr>
              <w:jc w:val="both"/>
              <w:rPr>
                <w:i/>
              </w:rPr>
            </w:pPr>
          </w:p>
        </w:tc>
      </w:tr>
      <w:tr w:rsidR="00BE49D8" w:rsidRPr="000C6A4A" w14:paraId="55AF6346" w14:textId="77777777" w:rsidTr="00BE49D8">
        <w:trPr>
          <w:trHeight w:val="558"/>
        </w:trPr>
        <w:tc>
          <w:tcPr>
            <w:tcW w:w="567" w:type="dxa"/>
            <w:tcBorders>
              <w:top w:val="dashSmallGap" w:sz="4" w:space="0" w:color="auto"/>
              <w:bottom w:val="dashSmallGap" w:sz="4" w:space="0" w:color="auto"/>
            </w:tcBorders>
            <w:shd w:val="clear" w:color="auto" w:fill="auto"/>
          </w:tcPr>
          <w:p w14:paraId="55AF6340" w14:textId="77777777" w:rsidR="00BE49D8" w:rsidRPr="005942D9" w:rsidRDefault="00BE49D8" w:rsidP="00F33AA6">
            <w:pPr>
              <w:jc w:val="both"/>
              <w:rPr>
                <w:i/>
              </w:rPr>
            </w:pPr>
            <w:r>
              <w:rPr>
                <w:i/>
                <w:sz w:val="22"/>
                <w:szCs w:val="22"/>
              </w:rPr>
              <w:t>4</w:t>
            </w:r>
            <w:r w:rsidRPr="005942D9">
              <w:rPr>
                <w:i/>
                <w:sz w:val="22"/>
                <w:szCs w:val="22"/>
              </w:rPr>
              <w:t>.5</w:t>
            </w:r>
          </w:p>
        </w:tc>
        <w:tc>
          <w:tcPr>
            <w:tcW w:w="2694" w:type="dxa"/>
            <w:tcBorders>
              <w:top w:val="dashSmallGap" w:sz="4" w:space="0" w:color="auto"/>
              <w:bottom w:val="dashSmallGap" w:sz="4" w:space="0" w:color="auto"/>
            </w:tcBorders>
            <w:shd w:val="clear" w:color="auto" w:fill="auto"/>
          </w:tcPr>
          <w:p w14:paraId="55AF6341" w14:textId="77777777" w:rsidR="00BE49D8" w:rsidRPr="005942D9" w:rsidRDefault="00BE49D8" w:rsidP="00F33AA6">
            <w:pPr>
              <w:jc w:val="both"/>
              <w:rPr>
                <w:i/>
              </w:rPr>
            </w:pPr>
            <w:r w:rsidRPr="005942D9">
              <w:rPr>
                <w:i/>
                <w:sz w:val="22"/>
                <w:szCs w:val="22"/>
              </w:rPr>
              <w:t>Atsiskaitomieji apskaitos prietaisai</w:t>
            </w:r>
          </w:p>
        </w:tc>
        <w:tc>
          <w:tcPr>
            <w:tcW w:w="1417" w:type="dxa"/>
            <w:tcBorders>
              <w:top w:val="dashSmallGap" w:sz="4" w:space="0" w:color="auto"/>
              <w:bottom w:val="dashSmallGap" w:sz="4" w:space="0" w:color="auto"/>
            </w:tcBorders>
            <w:shd w:val="clear" w:color="auto" w:fill="auto"/>
          </w:tcPr>
          <w:p w14:paraId="55AF6342" w14:textId="77777777" w:rsidR="00BE49D8" w:rsidRPr="005942D9" w:rsidRDefault="00BE49D8" w:rsidP="00F33AA6">
            <w:pPr>
              <w:jc w:val="both"/>
              <w:rPr>
                <w:i/>
              </w:rPr>
            </w:pPr>
            <w:r w:rsidRPr="005942D9">
              <w:rPr>
                <w:i/>
                <w:sz w:val="22"/>
                <w:szCs w:val="22"/>
              </w:rPr>
              <w:t>Bendrovės lėšos</w:t>
            </w:r>
          </w:p>
        </w:tc>
        <w:tc>
          <w:tcPr>
            <w:tcW w:w="1559" w:type="dxa"/>
            <w:tcBorders>
              <w:top w:val="dashSmallGap" w:sz="4" w:space="0" w:color="auto"/>
              <w:bottom w:val="dashSmallGap" w:sz="4" w:space="0" w:color="auto"/>
            </w:tcBorders>
            <w:shd w:val="clear" w:color="auto" w:fill="auto"/>
          </w:tcPr>
          <w:p w14:paraId="55AF6343" w14:textId="77777777" w:rsidR="00BE49D8" w:rsidRPr="005942D9" w:rsidRDefault="00BE49D8" w:rsidP="00F33AA6">
            <w:pPr>
              <w:jc w:val="both"/>
              <w:rPr>
                <w:i/>
              </w:rPr>
            </w:pPr>
            <w:r w:rsidRPr="005942D9">
              <w:rPr>
                <w:i/>
                <w:sz w:val="22"/>
                <w:szCs w:val="22"/>
              </w:rPr>
              <w:t>67</w:t>
            </w:r>
          </w:p>
        </w:tc>
        <w:tc>
          <w:tcPr>
            <w:tcW w:w="1276" w:type="dxa"/>
            <w:tcBorders>
              <w:top w:val="dashSmallGap" w:sz="4" w:space="0" w:color="auto"/>
              <w:bottom w:val="dashSmallGap" w:sz="4" w:space="0" w:color="auto"/>
            </w:tcBorders>
            <w:shd w:val="clear" w:color="auto" w:fill="auto"/>
          </w:tcPr>
          <w:p w14:paraId="55AF6344" w14:textId="77777777" w:rsidR="00BE49D8" w:rsidRPr="005942D9" w:rsidRDefault="00BE49D8" w:rsidP="00F33AA6">
            <w:pPr>
              <w:jc w:val="both"/>
              <w:rPr>
                <w:i/>
              </w:rPr>
            </w:pPr>
            <w:r w:rsidRPr="005942D9">
              <w:rPr>
                <w:i/>
                <w:sz w:val="22"/>
                <w:szCs w:val="22"/>
              </w:rPr>
              <w:t>67</w:t>
            </w:r>
          </w:p>
        </w:tc>
        <w:tc>
          <w:tcPr>
            <w:tcW w:w="2126" w:type="dxa"/>
            <w:tcBorders>
              <w:top w:val="dashSmallGap" w:sz="4" w:space="0" w:color="auto"/>
              <w:bottom w:val="dashSmallGap" w:sz="4" w:space="0" w:color="auto"/>
            </w:tcBorders>
          </w:tcPr>
          <w:p w14:paraId="55AF6345" w14:textId="77777777" w:rsidR="00BE49D8" w:rsidRPr="005942D9" w:rsidRDefault="00BE49D8" w:rsidP="00F33AA6">
            <w:pPr>
              <w:jc w:val="both"/>
              <w:rPr>
                <w:i/>
              </w:rPr>
            </w:pPr>
          </w:p>
        </w:tc>
      </w:tr>
      <w:tr w:rsidR="00BE49D8" w:rsidRPr="000C6A4A" w14:paraId="55AF634D" w14:textId="77777777" w:rsidTr="00BE49D8">
        <w:trPr>
          <w:trHeight w:val="558"/>
        </w:trPr>
        <w:tc>
          <w:tcPr>
            <w:tcW w:w="567" w:type="dxa"/>
            <w:tcBorders>
              <w:top w:val="dashSmallGap" w:sz="4" w:space="0" w:color="auto"/>
              <w:bottom w:val="dashSmallGap" w:sz="4" w:space="0" w:color="auto"/>
            </w:tcBorders>
            <w:shd w:val="clear" w:color="auto" w:fill="auto"/>
          </w:tcPr>
          <w:p w14:paraId="55AF6347" w14:textId="77777777" w:rsidR="00BE49D8" w:rsidRPr="005942D9" w:rsidRDefault="00BE49D8" w:rsidP="00F33AA6">
            <w:pPr>
              <w:jc w:val="both"/>
              <w:rPr>
                <w:i/>
              </w:rPr>
            </w:pPr>
            <w:r>
              <w:rPr>
                <w:i/>
                <w:sz w:val="22"/>
                <w:szCs w:val="22"/>
              </w:rPr>
              <w:t>4</w:t>
            </w:r>
            <w:r w:rsidRPr="005942D9">
              <w:rPr>
                <w:i/>
                <w:sz w:val="22"/>
                <w:szCs w:val="22"/>
              </w:rPr>
              <w:t>.6</w:t>
            </w:r>
          </w:p>
        </w:tc>
        <w:tc>
          <w:tcPr>
            <w:tcW w:w="2694" w:type="dxa"/>
            <w:tcBorders>
              <w:top w:val="dashSmallGap" w:sz="4" w:space="0" w:color="auto"/>
              <w:bottom w:val="dashSmallGap" w:sz="4" w:space="0" w:color="auto"/>
            </w:tcBorders>
            <w:shd w:val="clear" w:color="auto" w:fill="auto"/>
          </w:tcPr>
          <w:p w14:paraId="55AF6348" w14:textId="77777777" w:rsidR="00BE49D8" w:rsidRPr="005942D9" w:rsidRDefault="00BE49D8" w:rsidP="00F33AA6">
            <w:pPr>
              <w:jc w:val="both"/>
              <w:rPr>
                <w:i/>
              </w:rPr>
            </w:pPr>
            <w:r w:rsidRPr="005942D9">
              <w:rPr>
                <w:i/>
                <w:sz w:val="22"/>
                <w:szCs w:val="22"/>
              </w:rPr>
              <w:t>Transporto priemonės, įrengimai, kiti mechanizmai, įranga</w:t>
            </w:r>
          </w:p>
        </w:tc>
        <w:tc>
          <w:tcPr>
            <w:tcW w:w="1417" w:type="dxa"/>
            <w:tcBorders>
              <w:top w:val="dashSmallGap" w:sz="4" w:space="0" w:color="auto"/>
              <w:bottom w:val="dashSmallGap" w:sz="4" w:space="0" w:color="auto"/>
            </w:tcBorders>
            <w:shd w:val="clear" w:color="auto" w:fill="auto"/>
          </w:tcPr>
          <w:p w14:paraId="55AF6349" w14:textId="77777777" w:rsidR="00BE49D8" w:rsidRPr="005942D9" w:rsidRDefault="00BE49D8" w:rsidP="00F33AA6">
            <w:pPr>
              <w:jc w:val="both"/>
              <w:rPr>
                <w:i/>
              </w:rPr>
            </w:pPr>
            <w:r w:rsidRPr="005942D9">
              <w:rPr>
                <w:i/>
                <w:sz w:val="22"/>
                <w:szCs w:val="22"/>
              </w:rPr>
              <w:t>Bendrovės lėšos</w:t>
            </w:r>
          </w:p>
        </w:tc>
        <w:tc>
          <w:tcPr>
            <w:tcW w:w="1559" w:type="dxa"/>
            <w:tcBorders>
              <w:top w:val="dashSmallGap" w:sz="4" w:space="0" w:color="auto"/>
              <w:bottom w:val="dashSmallGap" w:sz="4" w:space="0" w:color="auto"/>
            </w:tcBorders>
            <w:shd w:val="clear" w:color="auto" w:fill="auto"/>
          </w:tcPr>
          <w:p w14:paraId="55AF634A" w14:textId="77777777" w:rsidR="00BE49D8" w:rsidRPr="005942D9" w:rsidRDefault="00BE49D8" w:rsidP="00F33AA6">
            <w:pPr>
              <w:jc w:val="both"/>
              <w:rPr>
                <w:i/>
              </w:rPr>
            </w:pPr>
            <w:r w:rsidRPr="005942D9">
              <w:rPr>
                <w:i/>
                <w:sz w:val="22"/>
                <w:szCs w:val="22"/>
              </w:rPr>
              <w:t>165</w:t>
            </w:r>
          </w:p>
        </w:tc>
        <w:tc>
          <w:tcPr>
            <w:tcW w:w="1276" w:type="dxa"/>
            <w:tcBorders>
              <w:top w:val="dashSmallGap" w:sz="4" w:space="0" w:color="auto"/>
              <w:bottom w:val="dashSmallGap" w:sz="4" w:space="0" w:color="auto"/>
            </w:tcBorders>
            <w:shd w:val="clear" w:color="auto" w:fill="auto"/>
          </w:tcPr>
          <w:p w14:paraId="55AF634B" w14:textId="77777777" w:rsidR="00BE49D8" w:rsidRPr="005942D9" w:rsidRDefault="00BE49D8" w:rsidP="00F33AA6">
            <w:pPr>
              <w:jc w:val="both"/>
              <w:rPr>
                <w:i/>
              </w:rPr>
            </w:pPr>
            <w:r w:rsidRPr="005942D9">
              <w:rPr>
                <w:i/>
                <w:sz w:val="22"/>
                <w:szCs w:val="22"/>
              </w:rPr>
              <w:t>165</w:t>
            </w:r>
          </w:p>
        </w:tc>
        <w:tc>
          <w:tcPr>
            <w:tcW w:w="2126" w:type="dxa"/>
            <w:tcBorders>
              <w:top w:val="dashSmallGap" w:sz="4" w:space="0" w:color="auto"/>
              <w:bottom w:val="dashSmallGap" w:sz="4" w:space="0" w:color="auto"/>
            </w:tcBorders>
          </w:tcPr>
          <w:p w14:paraId="55AF634C" w14:textId="77777777" w:rsidR="00BE49D8" w:rsidRPr="005942D9" w:rsidRDefault="00BE49D8" w:rsidP="00F33AA6">
            <w:pPr>
              <w:jc w:val="both"/>
              <w:rPr>
                <w:i/>
              </w:rPr>
            </w:pPr>
          </w:p>
        </w:tc>
      </w:tr>
      <w:tr w:rsidR="00BE49D8" w:rsidRPr="000C6A4A" w14:paraId="55AF6354" w14:textId="77777777" w:rsidTr="00BE49D8">
        <w:trPr>
          <w:trHeight w:val="558"/>
        </w:trPr>
        <w:tc>
          <w:tcPr>
            <w:tcW w:w="567" w:type="dxa"/>
            <w:tcBorders>
              <w:top w:val="dashSmallGap" w:sz="4" w:space="0" w:color="auto"/>
            </w:tcBorders>
            <w:shd w:val="clear" w:color="auto" w:fill="auto"/>
          </w:tcPr>
          <w:p w14:paraId="55AF634E" w14:textId="77777777" w:rsidR="00BE49D8" w:rsidRPr="005942D9" w:rsidRDefault="00BE49D8" w:rsidP="00F33AA6">
            <w:pPr>
              <w:jc w:val="both"/>
              <w:rPr>
                <w:i/>
              </w:rPr>
            </w:pPr>
            <w:r>
              <w:rPr>
                <w:i/>
                <w:sz w:val="22"/>
                <w:szCs w:val="22"/>
              </w:rPr>
              <w:t>4</w:t>
            </w:r>
            <w:r w:rsidRPr="005942D9">
              <w:rPr>
                <w:i/>
                <w:sz w:val="22"/>
                <w:szCs w:val="22"/>
              </w:rPr>
              <w:t>.7</w:t>
            </w:r>
          </w:p>
        </w:tc>
        <w:tc>
          <w:tcPr>
            <w:tcW w:w="2694" w:type="dxa"/>
            <w:tcBorders>
              <w:top w:val="dashSmallGap" w:sz="4" w:space="0" w:color="auto"/>
            </w:tcBorders>
            <w:shd w:val="clear" w:color="auto" w:fill="auto"/>
          </w:tcPr>
          <w:p w14:paraId="55AF634F" w14:textId="77777777" w:rsidR="00BE49D8" w:rsidRPr="005942D9" w:rsidRDefault="00BE49D8" w:rsidP="00F33AA6">
            <w:pPr>
              <w:jc w:val="both"/>
              <w:rPr>
                <w:i/>
              </w:rPr>
            </w:pPr>
            <w:r w:rsidRPr="005942D9">
              <w:rPr>
                <w:i/>
                <w:sz w:val="22"/>
                <w:szCs w:val="22"/>
              </w:rPr>
              <w:t>Šilumos trasų išpirkimas</w:t>
            </w:r>
          </w:p>
        </w:tc>
        <w:tc>
          <w:tcPr>
            <w:tcW w:w="1417" w:type="dxa"/>
            <w:tcBorders>
              <w:top w:val="dashSmallGap" w:sz="4" w:space="0" w:color="auto"/>
            </w:tcBorders>
            <w:shd w:val="clear" w:color="auto" w:fill="auto"/>
          </w:tcPr>
          <w:p w14:paraId="55AF6350" w14:textId="77777777" w:rsidR="00BE49D8" w:rsidRPr="005942D9" w:rsidRDefault="00BE49D8" w:rsidP="00F33AA6">
            <w:pPr>
              <w:jc w:val="both"/>
              <w:rPr>
                <w:i/>
              </w:rPr>
            </w:pPr>
            <w:r w:rsidRPr="005942D9">
              <w:rPr>
                <w:i/>
                <w:sz w:val="22"/>
                <w:szCs w:val="22"/>
              </w:rPr>
              <w:t>Bendrovės lėšos</w:t>
            </w:r>
          </w:p>
        </w:tc>
        <w:tc>
          <w:tcPr>
            <w:tcW w:w="1559" w:type="dxa"/>
            <w:tcBorders>
              <w:top w:val="dashSmallGap" w:sz="4" w:space="0" w:color="auto"/>
            </w:tcBorders>
            <w:shd w:val="clear" w:color="auto" w:fill="auto"/>
          </w:tcPr>
          <w:p w14:paraId="55AF6351" w14:textId="77777777" w:rsidR="00BE49D8" w:rsidRPr="005942D9" w:rsidRDefault="00BE49D8" w:rsidP="00F33AA6">
            <w:pPr>
              <w:jc w:val="both"/>
              <w:rPr>
                <w:i/>
              </w:rPr>
            </w:pPr>
            <w:r w:rsidRPr="005942D9">
              <w:rPr>
                <w:i/>
                <w:sz w:val="22"/>
                <w:szCs w:val="22"/>
              </w:rPr>
              <w:t>10</w:t>
            </w:r>
          </w:p>
        </w:tc>
        <w:tc>
          <w:tcPr>
            <w:tcW w:w="1276" w:type="dxa"/>
            <w:tcBorders>
              <w:top w:val="dashSmallGap" w:sz="4" w:space="0" w:color="auto"/>
            </w:tcBorders>
            <w:shd w:val="clear" w:color="auto" w:fill="auto"/>
          </w:tcPr>
          <w:p w14:paraId="55AF6352" w14:textId="77777777" w:rsidR="00BE49D8" w:rsidRPr="005942D9" w:rsidRDefault="00BE49D8" w:rsidP="00F33AA6">
            <w:pPr>
              <w:jc w:val="both"/>
              <w:rPr>
                <w:i/>
              </w:rPr>
            </w:pPr>
            <w:r w:rsidRPr="005942D9">
              <w:rPr>
                <w:i/>
                <w:sz w:val="22"/>
                <w:szCs w:val="22"/>
              </w:rPr>
              <w:t>10</w:t>
            </w:r>
          </w:p>
        </w:tc>
        <w:tc>
          <w:tcPr>
            <w:tcW w:w="2126" w:type="dxa"/>
            <w:tcBorders>
              <w:top w:val="dashSmallGap" w:sz="4" w:space="0" w:color="auto"/>
            </w:tcBorders>
          </w:tcPr>
          <w:p w14:paraId="55AF6353" w14:textId="77777777" w:rsidR="00BE49D8" w:rsidRPr="005942D9" w:rsidRDefault="00BE49D8" w:rsidP="00F33AA6">
            <w:pPr>
              <w:jc w:val="both"/>
              <w:rPr>
                <w:i/>
              </w:rPr>
            </w:pPr>
          </w:p>
        </w:tc>
      </w:tr>
      <w:tr w:rsidR="00BE49D8" w:rsidRPr="000153AC" w14:paraId="55AF635B" w14:textId="77777777" w:rsidTr="00BE49D8">
        <w:trPr>
          <w:trHeight w:val="333"/>
        </w:trPr>
        <w:tc>
          <w:tcPr>
            <w:tcW w:w="567" w:type="dxa"/>
            <w:shd w:val="clear" w:color="auto" w:fill="auto"/>
          </w:tcPr>
          <w:p w14:paraId="55AF6355" w14:textId="77777777" w:rsidR="00BE49D8" w:rsidRPr="000153AC" w:rsidRDefault="00BE49D8" w:rsidP="00F33AA6">
            <w:pPr>
              <w:jc w:val="both"/>
            </w:pPr>
          </w:p>
        </w:tc>
        <w:tc>
          <w:tcPr>
            <w:tcW w:w="2694" w:type="dxa"/>
            <w:shd w:val="clear" w:color="auto" w:fill="auto"/>
          </w:tcPr>
          <w:p w14:paraId="55AF6356" w14:textId="27FFF966" w:rsidR="00BE49D8" w:rsidRPr="000153AC" w:rsidRDefault="001470F3" w:rsidP="00F33AA6">
            <w:pPr>
              <w:jc w:val="both"/>
            </w:pPr>
            <w:r>
              <w:rPr>
                <w:sz w:val="22"/>
                <w:szCs w:val="22"/>
              </w:rPr>
              <w:t>Iš viso</w:t>
            </w:r>
          </w:p>
        </w:tc>
        <w:tc>
          <w:tcPr>
            <w:tcW w:w="1417" w:type="dxa"/>
            <w:shd w:val="clear" w:color="auto" w:fill="auto"/>
          </w:tcPr>
          <w:p w14:paraId="55AF6357" w14:textId="77777777" w:rsidR="00BE49D8" w:rsidRPr="000153AC" w:rsidRDefault="00BE49D8" w:rsidP="00F33AA6">
            <w:pPr>
              <w:jc w:val="both"/>
            </w:pPr>
          </w:p>
        </w:tc>
        <w:tc>
          <w:tcPr>
            <w:tcW w:w="1559" w:type="dxa"/>
            <w:shd w:val="clear" w:color="auto" w:fill="auto"/>
          </w:tcPr>
          <w:p w14:paraId="55AF6358" w14:textId="77777777" w:rsidR="00BE49D8" w:rsidRPr="000153AC" w:rsidRDefault="00BE49D8" w:rsidP="00F33AA6">
            <w:pPr>
              <w:jc w:val="both"/>
            </w:pPr>
            <w:r>
              <w:rPr>
                <w:sz w:val="22"/>
                <w:szCs w:val="22"/>
              </w:rPr>
              <w:t>767</w:t>
            </w:r>
          </w:p>
        </w:tc>
        <w:tc>
          <w:tcPr>
            <w:tcW w:w="1276" w:type="dxa"/>
            <w:shd w:val="clear" w:color="auto" w:fill="auto"/>
          </w:tcPr>
          <w:p w14:paraId="55AF6359" w14:textId="77777777" w:rsidR="00BE49D8" w:rsidRPr="000153AC" w:rsidRDefault="00BE49D8" w:rsidP="00F33AA6">
            <w:pPr>
              <w:jc w:val="both"/>
            </w:pPr>
            <w:r>
              <w:rPr>
                <w:sz w:val="22"/>
                <w:szCs w:val="22"/>
              </w:rPr>
              <w:t>766</w:t>
            </w:r>
          </w:p>
        </w:tc>
        <w:tc>
          <w:tcPr>
            <w:tcW w:w="2126" w:type="dxa"/>
          </w:tcPr>
          <w:p w14:paraId="55AF635A" w14:textId="77777777" w:rsidR="00BE49D8" w:rsidRPr="000153AC" w:rsidRDefault="00BE49D8" w:rsidP="00F33AA6">
            <w:pPr>
              <w:jc w:val="both"/>
            </w:pPr>
          </w:p>
        </w:tc>
      </w:tr>
    </w:tbl>
    <w:p w14:paraId="55AF635C" w14:textId="77777777" w:rsidR="00BE49D8" w:rsidRDefault="00BE49D8" w:rsidP="00BF264F">
      <w:pPr>
        <w:jc w:val="both"/>
      </w:pPr>
    </w:p>
    <w:p w14:paraId="55AF635D" w14:textId="4C870A45" w:rsidR="00BE49D8" w:rsidRPr="001470F3" w:rsidRDefault="001470F3" w:rsidP="001470F3">
      <w:pPr>
        <w:jc w:val="center"/>
        <w:rPr>
          <w:u w:val="single"/>
        </w:rPr>
      </w:pPr>
      <w:r>
        <w:rPr>
          <w:u w:val="single"/>
        </w:rPr>
        <w:tab/>
      </w:r>
      <w:r>
        <w:rPr>
          <w:u w:val="single"/>
        </w:rPr>
        <w:tab/>
      </w:r>
      <w:r>
        <w:rPr>
          <w:u w:val="single"/>
        </w:rPr>
        <w:tab/>
      </w:r>
    </w:p>
    <w:p w14:paraId="55AF635E" w14:textId="77777777" w:rsidR="00BE49D8" w:rsidRDefault="00BE49D8" w:rsidP="00BF264F">
      <w:pPr>
        <w:jc w:val="both"/>
      </w:pPr>
    </w:p>
    <w:p w14:paraId="55AF635F" w14:textId="77777777" w:rsidR="00BE49D8" w:rsidRDefault="00BE49D8" w:rsidP="00BF264F">
      <w:pPr>
        <w:jc w:val="both"/>
      </w:pPr>
    </w:p>
    <w:p w14:paraId="55AF6360" w14:textId="77777777" w:rsidR="00BE49D8" w:rsidRDefault="00BE49D8" w:rsidP="001470F3">
      <w:pPr>
        <w:jc w:val="center"/>
      </w:pPr>
    </w:p>
    <w:p w14:paraId="55AF6361" w14:textId="77777777" w:rsidR="00BE49D8" w:rsidRDefault="00BE49D8" w:rsidP="00BF264F">
      <w:pPr>
        <w:jc w:val="both"/>
      </w:pPr>
    </w:p>
    <w:p w14:paraId="55AF6362" w14:textId="77777777" w:rsidR="00BE49D8" w:rsidRDefault="00BE49D8" w:rsidP="00BF264F">
      <w:pPr>
        <w:jc w:val="both"/>
      </w:pPr>
    </w:p>
    <w:p w14:paraId="55AF6363" w14:textId="77777777" w:rsidR="00BE49D8" w:rsidRDefault="00BE49D8" w:rsidP="00BF264F">
      <w:pPr>
        <w:jc w:val="both"/>
      </w:pPr>
    </w:p>
    <w:p w14:paraId="55AF6364" w14:textId="1EBDE7F3" w:rsidR="003A7BA0" w:rsidRPr="00BF264F" w:rsidRDefault="00DA20BF" w:rsidP="00BF264F">
      <w:pPr>
        <w:jc w:val="both"/>
      </w:pPr>
      <w:r>
        <w:rPr>
          <w:b/>
        </w:rPr>
        <w:lastRenderedPageBreak/>
        <w:t>S</w:t>
      </w:r>
      <w:r w:rsidR="003A7BA0" w:rsidRPr="007060B8">
        <w:rPr>
          <w:b/>
        </w:rPr>
        <w:t>PRENDIMO</w:t>
      </w:r>
      <w:r w:rsidR="00D90B93">
        <w:rPr>
          <w:b/>
        </w:rPr>
        <w:t xml:space="preserve"> </w:t>
      </w:r>
      <w:r>
        <w:rPr>
          <w:b/>
        </w:rPr>
        <w:t xml:space="preserve">PROJEKTO </w:t>
      </w:r>
      <w:r w:rsidR="00D90B93">
        <w:rPr>
          <w:b/>
        </w:rPr>
        <w:t>„</w:t>
      </w:r>
      <w:r w:rsidR="00E96FE4" w:rsidRPr="00B13576">
        <w:rPr>
          <w:b/>
        </w:rPr>
        <w:t>DĖL</w:t>
      </w:r>
      <w:r w:rsidR="00E96FE4">
        <w:rPr>
          <w:b/>
        </w:rPr>
        <w:t xml:space="preserve"> AB „PANEVĖŽIO ENERGIJA“</w:t>
      </w:r>
      <w:r w:rsidR="00E96FE4" w:rsidRPr="00B13576">
        <w:rPr>
          <w:b/>
        </w:rPr>
        <w:t xml:space="preserve"> ROKIŠKIO RAJONO SAVIVALDYBĖS TARYBAI TEIKIAMŲ DERINTI PLANUOJAMŲ 2016 METŲ INVESTICIJŲ ROKIŠKIO ŠILUMOS TINKLŲ RAJONE</w:t>
      </w:r>
      <w:r>
        <w:rPr>
          <w:b/>
        </w:rPr>
        <w:t>“</w:t>
      </w:r>
      <w:r w:rsidRPr="00DA20BF">
        <w:rPr>
          <w:b/>
        </w:rPr>
        <w:t xml:space="preserve"> </w:t>
      </w:r>
      <w:r w:rsidRPr="007060B8">
        <w:rPr>
          <w:b/>
        </w:rPr>
        <w:t>AIŠKINAMASIS RAŠTAS</w:t>
      </w:r>
    </w:p>
    <w:p w14:paraId="55AF6365" w14:textId="77777777" w:rsidR="00285C4E" w:rsidRPr="007060B8" w:rsidRDefault="00285C4E" w:rsidP="00D23497">
      <w:pPr>
        <w:pStyle w:val="Antrats"/>
        <w:jc w:val="center"/>
        <w:rPr>
          <w:b/>
          <w:sz w:val="24"/>
          <w:szCs w:val="24"/>
          <w:lang w:val="lt-LT"/>
        </w:rPr>
      </w:pPr>
    </w:p>
    <w:p w14:paraId="55AF6366" w14:textId="77777777" w:rsidR="003A7BA0" w:rsidRPr="007060B8" w:rsidRDefault="00FD5232" w:rsidP="00D23497">
      <w:pPr>
        <w:jc w:val="center"/>
      </w:pPr>
      <w:r>
        <w:t>2016 m. gegužės 11</w:t>
      </w:r>
      <w:r w:rsidR="003A7BA0" w:rsidRPr="007060B8">
        <w:t xml:space="preserve"> d.</w:t>
      </w:r>
    </w:p>
    <w:p w14:paraId="55AF6367" w14:textId="77777777" w:rsidR="003A7BA0" w:rsidRPr="007060B8" w:rsidRDefault="003A7BA0" w:rsidP="00D23497">
      <w:pPr>
        <w:jc w:val="center"/>
      </w:pPr>
      <w:r w:rsidRPr="007060B8">
        <w:t>Rokiškis</w:t>
      </w:r>
    </w:p>
    <w:p w14:paraId="55AF6368" w14:textId="77777777" w:rsidR="003A7BA0" w:rsidRPr="007060B8" w:rsidRDefault="003A7BA0" w:rsidP="00D23497">
      <w:pPr>
        <w:jc w:val="both"/>
      </w:pPr>
    </w:p>
    <w:p w14:paraId="55AF6369" w14:textId="77777777" w:rsidR="003A7BA0" w:rsidRPr="00D10E71" w:rsidRDefault="003A7BA0" w:rsidP="00D10E71">
      <w:pPr>
        <w:jc w:val="both"/>
        <w:rPr>
          <w:b/>
        </w:rPr>
      </w:pPr>
      <w:r w:rsidRPr="007060B8">
        <w:rPr>
          <w:b/>
        </w:rPr>
        <w:tab/>
      </w:r>
      <w:r w:rsidRPr="00D10E71">
        <w:rPr>
          <w:b/>
        </w:rPr>
        <w:t>Parengto projekto tikslai ir uždaviniai.</w:t>
      </w:r>
    </w:p>
    <w:p w14:paraId="55AF636A" w14:textId="065F7312" w:rsidR="007A05D4" w:rsidRPr="00D10E71" w:rsidRDefault="003A7BA0" w:rsidP="00D10E71">
      <w:pPr>
        <w:jc w:val="both"/>
      </w:pPr>
      <w:r w:rsidRPr="00D10E71">
        <w:rPr>
          <w:b/>
        </w:rPr>
        <w:tab/>
      </w:r>
      <w:r w:rsidRPr="00D10E71">
        <w:t xml:space="preserve">Šiuo sprendimo projektu siūlome Rokiškio </w:t>
      </w:r>
      <w:r w:rsidR="007A05D4" w:rsidRPr="00D10E71">
        <w:t xml:space="preserve">rajono savivaldybės tarybai 2016 m. </w:t>
      </w:r>
      <w:r w:rsidR="00E96FE4" w:rsidRPr="00D10E71">
        <w:t>gegužės 27</w:t>
      </w:r>
      <w:r w:rsidRPr="00D10E71">
        <w:t xml:space="preserve"> d. posėdyje svarstyti klausimą </w:t>
      </w:r>
      <w:r w:rsidR="00E96FE4" w:rsidRPr="00D10E71">
        <w:t>„Dėl AB „Panevėžio energija“ Rokiškio rajono savivaldybės tarybai teikiamų derinti planuojamų 2016 metų investicijų Rokiškio šilumos tinklų rajone</w:t>
      </w:r>
      <w:r w:rsidR="007A05D4" w:rsidRPr="00D10E71">
        <w:t xml:space="preserve">“. </w:t>
      </w:r>
      <w:r w:rsidR="00030A48" w:rsidRPr="00D10E71">
        <w:t xml:space="preserve">Tikslas </w:t>
      </w:r>
      <w:r w:rsidR="00614B81">
        <w:t xml:space="preserve">– </w:t>
      </w:r>
      <w:r w:rsidR="00030A48" w:rsidRPr="00D10E71">
        <w:t xml:space="preserve">pagerinti šilumos tinklų būklę Rokiškio </w:t>
      </w:r>
      <w:r w:rsidR="00E96FE4" w:rsidRPr="00D10E71">
        <w:t>mieste</w:t>
      </w:r>
      <w:r w:rsidR="00030A48" w:rsidRPr="00D10E71">
        <w:t>.</w:t>
      </w:r>
    </w:p>
    <w:p w14:paraId="55AF636C" w14:textId="77777777" w:rsidR="003A7BA0" w:rsidRPr="00D10E71" w:rsidRDefault="003A7BA0" w:rsidP="00D10E71">
      <w:pPr>
        <w:jc w:val="both"/>
        <w:rPr>
          <w:b/>
        </w:rPr>
      </w:pPr>
      <w:r w:rsidRPr="00D10E71">
        <w:tab/>
      </w:r>
      <w:r w:rsidRPr="00D10E71">
        <w:rPr>
          <w:b/>
        </w:rPr>
        <w:t>Šiuo metu esantis teisinis reglamentavimas.</w:t>
      </w:r>
    </w:p>
    <w:p w14:paraId="55AF636D" w14:textId="057C41FF" w:rsidR="00A3160D" w:rsidRPr="00D10E71" w:rsidRDefault="003A7BA0" w:rsidP="00D10E71">
      <w:pPr>
        <w:jc w:val="both"/>
      </w:pPr>
      <w:r w:rsidRPr="00D10E71">
        <w:rPr>
          <w:b/>
        </w:rPr>
        <w:tab/>
      </w:r>
      <w:r w:rsidR="007A05D4" w:rsidRPr="00D10E71">
        <w:t>Lietuvos Respublikos šil</w:t>
      </w:r>
      <w:r w:rsidR="00836108" w:rsidRPr="00D10E71">
        <w:t>umos ūkio įstatymo 35 straipsnis</w:t>
      </w:r>
      <w:r w:rsidR="007A05D4" w:rsidRPr="00D10E71">
        <w:t>, Rokiškio rajono savivaldybės tarybo</w:t>
      </w:r>
      <w:r w:rsidR="00836108" w:rsidRPr="00D10E71">
        <w:t>s 2008 m. spalio 31 d. sprendimas</w:t>
      </w:r>
      <w:r w:rsidR="007A05D4" w:rsidRPr="00D10E71">
        <w:t xml:space="preserve"> Nr. TS-10.177 „Dėl Šilumos tiekėjų investicinių projektų (planų) derinimo su Rokiškio rajono savivaldybės taryba tvarkos“,</w:t>
      </w:r>
      <w:r w:rsidR="00A3160D" w:rsidRPr="00D10E71">
        <w:t xml:space="preserve"> </w:t>
      </w:r>
      <w:r w:rsidR="00544291" w:rsidRPr="00D10E71">
        <w:t>Valstybinė</w:t>
      </w:r>
      <w:r w:rsidR="005F0D23" w:rsidRPr="00D10E71">
        <w:t>s kainų ir energetikos kontrolės komisijos (toliau</w:t>
      </w:r>
      <w:r w:rsidR="002E6122">
        <w:t xml:space="preserve"> </w:t>
      </w:r>
      <w:r w:rsidR="00481DA6">
        <w:t xml:space="preserve">– </w:t>
      </w:r>
      <w:r w:rsidR="00030A48" w:rsidRPr="00D10E71">
        <w:t>VKEKK</w:t>
      </w:r>
      <w:r w:rsidR="005F0D23" w:rsidRPr="00D10E71">
        <w:t>)</w:t>
      </w:r>
      <w:r w:rsidR="00030A48" w:rsidRPr="00D10E71">
        <w:t xml:space="preserve"> </w:t>
      </w:r>
      <w:r w:rsidR="00481DA6" w:rsidRPr="00D10E71">
        <w:t>2015-04-17</w:t>
      </w:r>
      <w:r w:rsidR="00481DA6">
        <w:t xml:space="preserve"> nutarimas</w:t>
      </w:r>
      <w:r w:rsidR="005F0D23" w:rsidRPr="00D10E71">
        <w:t xml:space="preserve"> Nr. O3-252</w:t>
      </w:r>
      <w:r w:rsidR="002E6122">
        <w:t>,</w:t>
      </w:r>
      <w:r w:rsidR="005F0D23" w:rsidRPr="00D10E71">
        <w:t xml:space="preserve"> </w:t>
      </w:r>
      <w:r w:rsidR="00D10E71" w:rsidRPr="00D10E71">
        <w:t xml:space="preserve">Lietuvos Respublikos energetikos įstatymo 3 skirsnio 15 straipsnio 3 </w:t>
      </w:r>
      <w:r w:rsidR="00481DA6">
        <w:t>punktas</w:t>
      </w:r>
      <w:r w:rsidR="00D10E71" w:rsidRPr="00D10E71">
        <w:t xml:space="preserve"> „Energetikos įmonės, besiverčiančios veikla,</w:t>
      </w:r>
      <w:r w:rsidR="00D10E71" w:rsidRPr="00D10E71">
        <w:rPr>
          <w:b/>
          <w:bCs/>
        </w:rPr>
        <w:t xml:space="preserve"> </w:t>
      </w:r>
      <w:r w:rsidR="00D10E71" w:rsidRPr="00D10E71">
        <w:t>kurios kainos yra reguliuojamos, numatomas investicijas turi derinti su Komisija. Jeigu šios energetikos įmonių investicijos nėra suderintos su Komisija, jos negali būti pripažintos pagrįstomis valstybės reguliuojamoms kainoms peržiūrėti“, Lietuvos Respublikos vietos savivaldos įstatymo 6 straipsnio „</w:t>
      </w:r>
      <w:proofErr w:type="spellStart"/>
      <w:r w:rsidR="00D10E71" w:rsidRPr="00D10E71">
        <w:t>Savarankiškosios</w:t>
      </w:r>
      <w:proofErr w:type="spellEnd"/>
      <w:r w:rsidR="00D10E71" w:rsidRPr="00D10E71">
        <w:t xml:space="preserve"> (Konstitucijos ir įstatymų nustatytos (priskirtos)) s</w:t>
      </w:r>
      <w:r w:rsidR="002E6122">
        <w:t>avivaldybių funkcijos“ 30 punktas</w:t>
      </w:r>
      <w:r w:rsidR="00D10E71" w:rsidRPr="00D10E71">
        <w:t>, 16 straipsnio 4</w:t>
      </w:r>
      <w:r w:rsidR="002E6122">
        <w:t xml:space="preserve"> punktas</w:t>
      </w:r>
      <w:r w:rsidR="00481DA6">
        <w:t>.</w:t>
      </w:r>
    </w:p>
    <w:p w14:paraId="55AF636F" w14:textId="7678138A" w:rsidR="003A7BA0" w:rsidRPr="00D10E71" w:rsidRDefault="003A7BA0" w:rsidP="00D10E71">
      <w:pPr>
        <w:jc w:val="both"/>
      </w:pPr>
      <w:r w:rsidRPr="00D10E71">
        <w:tab/>
      </w:r>
      <w:r w:rsidRPr="00D10E71">
        <w:rPr>
          <w:b/>
        </w:rPr>
        <w:t>Sprendimo esmė.</w:t>
      </w:r>
      <w:r w:rsidRPr="00D10E71">
        <w:t xml:space="preserve"> </w:t>
      </w:r>
    </w:p>
    <w:p w14:paraId="55AF6371" w14:textId="4DFFBC7F" w:rsidR="00BF264F" w:rsidRDefault="00BE4E35" w:rsidP="00481DA6">
      <w:pPr>
        <w:ind w:firstLine="1296"/>
        <w:jc w:val="both"/>
      </w:pPr>
      <w:r w:rsidRPr="00D10E71">
        <w:t xml:space="preserve">AB „Panevėžio energija“ </w:t>
      </w:r>
      <w:r w:rsidR="00EE3360" w:rsidRPr="00F61783">
        <w:t xml:space="preserve">teikia </w:t>
      </w:r>
      <w:r w:rsidR="00481DA6">
        <w:t>derinti</w:t>
      </w:r>
      <w:r w:rsidR="00EE3360" w:rsidRPr="00F61783">
        <w:t xml:space="preserve"> AB „Panevėžio energija“ 2016 met</w:t>
      </w:r>
      <w:r w:rsidR="00EE3360">
        <w:t>ais planuojamas investicijas</w:t>
      </w:r>
      <w:r w:rsidR="002B3281">
        <w:t xml:space="preserve"> Rokiškio šilumos tinklų rajone.</w:t>
      </w:r>
      <w:r w:rsidRPr="00D10E71">
        <w:t xml:space="preserve"> </w:t>
      </w:r>
      <w:r w:rsidR="002B3281">
        <w:t>Numatomų 2016 m. investicijų</w:t>
      </w:r>
      <w:r w:rsidR="002B3281" w:rsidRPr="00D10E71">
        <w:t xml:space="preserve"> </w:t>
      </w:r>
      <w:r w:rsidR="002B3281">
        <w:t>į</w:t>
      </w:r>
      <w:r w:rsidR="008741FA">
        <w:t xml:space="preserve"> </w:t>
      </w:r>
      <w:r w:rsidR="002B3281">
        <w:t xml:space="preserve">šilumos tinklus vertė – 766 </w:t>
      </w:r>
      <w:r w:rsidRPr="00D10E71">
        <w:t xml:space="preserve">tūkst. </w:t>
      </w:r>
      <w:proofErr w:type="spellStart"/>
      <w:r w:rsidR="008741FA">
        <w:t>Eur</w:t>
      </w:r>
      <w:proofErr w:type="spellEnd"/>
      <w:r w:rsidR="002B3281">
        <w:t xml:space="preserve"> (septyni šimtai šešiasdešimt šeši tūkstančiai</w:t>
      </w:r>
      <w:r w:rsidR="008741FA">
        <w:t xml:space="preserve"> eurų</w:t>
      </w:r>
      <w:r w:rsidR="002B3281">
        <w:t>)</w:t>
      </w:r>
      <w:r w:rsidR="008741FA">
        <w:t>, įgyvendinimo laikotarpis 2016</w:t>
      </w:r>
      <w:r w:rsidR="00BF264F">
        <w:t xml:space="preserve"> metai.</w:t>
      </w:r>
    </w:p>
    <w:p w14:paraId="55AF6372" w14:textId="66EF21D6" w:rsidR="00BF264F" w:rsidRDefault="00BF264F" w:rsidP="00481DA6">
      <w:pPr>
        <w:ind w:firstLine="360"/>
        <w:jc w:val="both"/>
      </w:pPr>
      <w:r>
        <w:t>Objektų pavadinimai:</w:t>
      </w:r>
    </w:p>
    <w:p w14:paraId="55AF6373" w14:textId="3B87B0B6" w:rsidR="00BF264F" w:rsidRDefault="00481DA6" w:rsidP="00BF264F">
      <w:pPr>
        <w:pStyle w:val="Sraopastraipa"/>
        <w:numPr>
          <w:ilvl w:val="0"/>
          <w:numId w:val="15"/>
        </w:numPr>
        <w:jc w:val="both"/>
      </w:pPr>
      <w:r>
        <w:rPr>
          <w:sz w:val="22"/>
          <w:szCs w:val="22"/>
        </w:rPr>
        <w:t>g</w:t>
      </w:r>
      <w:r w:rsidR="00BF264F" w:rsidRPr="00BF264F">
        <w:rPr>
          <w:sz w:val="22"/>
          <w:szCs w:val="22"/>
        </w:rPr>
        <w:t>aro katilo Nr.</w:t>
      </w:r>
      <w:r>
        <w:rPr>
          <w:sz w:val="22"/>
          <w:szCs w:val="22"/>
        </w:rPr>
        <w:t xml:space="preserve"> </w:t>
      </w:r>
      <w:r w:rsidR="00BF264F" w:rsidRPr="00BF264F">
        <w:rPr>
          <w:sz w:val="22"/>
          <w:szCs w:val="22"/>
        </w:rPr>
        <w:t>3 pelenų valymo sistemos įrengimas</w:t>
      </w:r>
      <w:r w:rsidR="00BF264F">
        <w:t>;</w:t>
      </w:r>
    </w:p>
    <w:p w14:paraId="55AF6374" w14:textId="26093080" w:rsidR="00BF264F" w:rsidRPr="00BF264F" w:rsidRDefault="00481DA6" w:rsidP="00BF264F">
      <w:pPr>
        <w:pStyle w:val="Sraopastraipa"/>
        <w:numPr>
          <w:ilvl w:val="0"/>
          <w:numId w:val="15"/>
        </w:numPr>
        <w:jc w:val="both"/>
      </w:pPr>
      <w:r>
        <w:rPr>
          <w:sz w:val="22"/>
          <w:szCs w:val="22"/>
        </w:rPr>
        <w:t>n</w:t>
      </w:r>
      <w:r w:rsidR="00BF264F">
        <w:rPr>
          <w:sz w:val="22"/>
          <w:szCs w:val="22"/>
        </w:rPr>
        <w:t>uotolinio</w:t>
      </w:r>
      <w:r w:rsidR="00BF264F" w:rsidRPr="000C6A4A">
        <w:rPr>
          <w:sz w:val="22"/>
          <w:szCs w:val="22"/>
        </w:rPr>
        <w:t xml:space="preserve"> duomenų nuskaitymo, informacijos perdavimo ir apdorojimo sistemos išplėtimas</w:t>
      </w:r>
      <w:r w:rsidR="00BF264F">
        <w:rPr>
          <w:sz w:val="22"/>
          <w:szCs w:val="22"/>
        </w:rPr>
        <w:t>;</w:t>
      </w:r>
    </w:p>
    <w:p w14:paraId="55AF6375" w14:textId="287482BE" w:rsidR="00BF264F" w:rsidRPr="00BF264F" w:rsidRDefault="00481DA6" w:rsidP="00BF264F">
      <w:pPr>
        <w:pStyle w:val="Sraopastraipa"/>
        <w:numPr>
          <w:ilvl w:val="0"/>
          <w:numId w:val="15"/>
        </w:numPr>
        <w:jc w:val="both"/>
      </w:pPr>
      <w:r>
        <w:rPr>
          <w:sz w:val="22"/>
          <w:szCs w:val="22"/>
        </w:rPr>
        <w:t>g</w:t>
      </w:r>
      <w:r w:rsidR="00BF264F">
        <w:rPr>
          <w:sz w:val="22"/>
          <w:szCs w:val="22"/>
        </w:rPr>
        <w:t>arotiekio tinklų nuo Rokiškio RK iki UAB „</w:t>
      </w:r>
      <w:proofErr w:type="spellStart"/>
      <w:r w:rsidR="00BF264F">
        <w:rPr>
          <w:sz w:val="22"/>
          <w:szCs w:val="22"/>
        </w:rPr>
        <w:t>Daivida</w:t>
      </w:r>
      <w:proofErr w:type="spellEnd"/>
      <w:r w:rsidR="00BF264F">
        <w:rPr>
          <w:sz w:val="22"/>
          <w:szCs w:val="22"/>
        </w:rPr>
        <w:t>“ rekonstravimas;</w:t>
      </w:r>
    </w:p>
    <w:p w14:paraId="55AF6376" w14:textId="57ED9CAE" w:rsidR="00BF264F" w:rsidRDefault="00481DA6" w:rsidP="00BF264F">
      <w:pPr>
        <w:pStyle w:val="Sraopastraipa"/>
        <w:numPr>
          <w:ilvl w:val="0"/>
          <w:numId w:val="15"/>
        </w:numPr>
        <w:jc w:val="both"/>
      </w:pPr>
      <w:r>
        <w:rPr>
          <w:sz w:val="22"/>
          <w:szCs w:val="22"/>
        </w:rPr>
        <w:t>bendrųjų</w:t>
      </w:r>
      <w:r w:rsidR="00BF264F" w:rsidRPr="000153AC">
        <w:rPr>
          <w:sz w:val="22"/>
          <w:szCs w:val="22"/>
        </w:rPr>
        <w:t xml:space="preserve"> poreikių investicijos</w:t>
      </w:r>
      <w:r w:rsidR="00BF264F">
        <w:rPr>
          <w:sz w:val="22"/>
          <w:szCs w:val="22"/>
        </w:rPr>
        <w:t xml:space="preserve"> (</w:t>
      </w:r>
      <w:r w:rsidRPr="00481DA6">
        <w:rPr>
          <w:i/>
          <w:sz w:val="22"/>
          <w:szCs w:val="22"/>
        </w:rPr>
        <w:t>naujų</w:t>
      </w:r>
      <w:r w:rsidR="00BF264F">
        <w:rPr>
          <w:i/>
          <w:sz w:val="22"/>
          <w:szCs w:val="22"/>
        </w:rPr>
        <w:t xml:space="preserve"> šilumos vartotojų pri</w:t>
      </w:r>
      <w:r w:rsidR="00BF264F" w:rsidRPr="005942D9">
        <w:rPr>
          <w:i/>
          <w:sz w:val="22"/>
          <w:szCs w:val="22"/>
        </w:rPr>
        <w:t>jungima</w:t>
      </w:r>
      <w:r w:rsidR="00BF264F">
        <w:rPr>
          <w:i/>
          <w:sz w:val="22"/>
          <w:szCs w:val="22"/>
        </w:rPr>
        <w:t>s,</w:t>
      </w:r>
      <w:r w:rsidR="00BF264F" w:rsidRPr="00BF264F">
        <w:rPr>
          <w:i/>
          <w:sz w:val="22"/>
          <w:szCs w:val="22"/>
        </w:rPr>
        <w:t xml:space="preserve"> </w:t>
      </w:r>
      <w:r w:rsidR="00BF264F">
        <w:rPr>
          <w:i/>
          <w:sz w:val="22"/>
          <w:szCs w:val="22"/>
        </w:rPr>
        <w:t>š</w:t>
      </w:r>
      <w:r w:rsidR="00BF264F" w:rsidRPr="005942D9">
        <w:rPr>
          <w:i/>
          <w:sz w:val="22"/>
          <w:szCs w:val="22"/>
        </w:rPr>
        <w:t>ilumos gamybos i</w:t>
      </w:r>
      <w:r w:rsidR="00BF264F">
        <w:rPr>
          <w:i/>
          <w:sz w:val="22"/>
          <w:szCs w:val="22"/>
        </w:rPr>
        <w:t>šlaidų mažinimo priemo</w:t>
      </w:r>
      <w:r w:rsidR="00BE49D8">
        <w:rPr>
          <w:i/>
          <w:sz w:val="22"/>
          <w:szCs w:val="22"/>
        </w:rPr>
        <w:t>nių plano kūrimas, projektavimas-konsultavimas</w:t>
      </w:r>
      <w:r w:rsidR="00BF264F">
        <w:rPr>
          <w:i/>
          <w:sz w:val="22"/>
          <w:szCs w:val="22"/>
        </w:rPr>
        <w:t>, k</w:t>
      </w:r>
      <w:r w:rsidR="00BF264F" w:rsidRPr="005942D9">
        <w:rPr>
          <w:i/>
          <w:sz w:val="22"/>
          <w:szCs w:val="22"/>
        </w:rPr>
        <w:t>ompiuterinės ir programinės įrangos įsigijimas</w:t>
      </w:r>
      <w:r w:rsidR="00BF264F">
        <w:rPr>
          <w:i/>
          <w:sz w:val="22"/>
          <w:szCs w:val="22"/>
        </w:rPr>
        <w:t>, atsiskaitomųjų</w:t>
      </w:r>
      <w:r w:rsidR="00BF264F" w:rsidRPr="005942D9">
        <w:rPr>
          <w:i/>
          <w:sz w:val="22"/>
          <w:szCs w:val="22"/>
        </w:rPr>
        <w:t xml:space="preserve"> apskaitos prietais</w:t>
      </w:r>
      <w:r w:rsidR="00BF264F">
        <w:rPr>
          <w:i/>
          <w:sz w:val="22"/>
          <w:szCs w:val="22"/>
        </w:rPr>
        <w:t>ų įsigijimas;</w:t>
      </w:r>
      <w:r w:rsidR="00BF264F" w:rsidRPr="00BF264F">
        <w:rPr>
          <w:i/>
          <w:sz w:val="22"/>
          <w:szCs w:val="22"/>
        </w:rPr>
        <w:t xml:space="preserve"> </w:t>
      </w:r>
      <w:r w:rsidR="00BF264F">
        <w:rPr>
          <w:i/>
          <w:sz w:val="22"/>
          <w:szCs w:val="22"/>
        </w:rPr>
        <w:t>transporto priemonių, įrengimų</w:t>
      </w:r>
      <w:r w:rsidR="00BF264F" w:rsidRPr="005942D9">
        <w:rPr>
          <w:i/>
          <w:sz w:val="22"/>
          <w:szCs w:val="22"/>
        </w:rPr>
        <w:t>, kit</w:t>
      </w:r>
      <w:r w:rsidR="00BF264F">
        <w:rPr>
          <w:i/>
          <w:sz w:val="22"/>
          <w:szCs w:val="22"/>
        </w:rPr>
        <w:t>ų mechanizmų</w:t>
      </w:r>
      <w:r w:rsidR="00BF264F" w:rsidRPr="005942D9">
        <w:rPr>
          <w:i/>
          <w:sz w:val="22"/>
          <w:szCs w:val="22"/>
        </w:rPr>
        <w:t>, įrang</w:t>
      </w:r>
      <w:r w:rsidR="00BF264F">
        <w:rPr>
          <w:i/>
          <w:sz w:val="22"/>
          <w:szCs w:val="22"/>
        </w:rPr>
        <w:t>os įsigijimas; š</w:t>
      </w:r>
      <w:r w:rsidR="00BF264F" w:rsidRPr="005942D9">
        <w:rPr>
          <w:i/>
          <w:sz w:val="22"/>
          <w:szCs w:val="22"/>
        </w:rPr>
        <w:t>ilumos trasų išpirkimas</w:t>
      </w:r>
      <w:r w:rsidR="00BF264F">
        <w:rPr>
          <w:i/>
          <w:sz w:val="22"/>
          <w:szCs w:val="22"/>
        </w:rPr>
        <w:t>).</w:t>
      </w:r>
    </w:p>
    <w:p w14:paraId="55AF6377" w14:textId="77777777" w:rsidR="003A7BA0" w:rsidRPr="00D10E71" w:rsidRDefault="003A7BA0" w:rsidP="00BF264F">
      <w:pPr>
        <w:tabs>
          <w:tab w:val="left" w:pos="709"/>
        </w:tabs>
        <w:jc w:val="both"/>
      </w:pPr>
      <w:r w:rsidRPr="00D10E71">
        <w:tab/>
      </w:r>
      <w:r w:rsidRPr="00D10E71">
        <w:rPr>
          <w:b/>
        </w:rPr>
        <w:t>Galimos pasekmės, priėmus siūlomą tarybos sprendimo projektą</w:t>
      </w:r>
      <w:r w:rsidRPr="00D10E71">
        <w:t>:</w:t>
      </w:r>
    </w:p>
    <w:p w14:paraId="55AF6378" w14:textId="11DC478F" w:rsidR="003A7BA0" w:rsidRPr="00D10E71" w:rsidRDefault="003A7BA0" w:rsidP="00BF264F">
      <w:pPr>
        <w:tabs>
          <w:tab w:val="left" w:pos="709"/>
        </w:tabs>
        <w:jc w:val="both"/>
      </w:pPr>
      <w:r w:rsidRPr="00D10E71">
        <w:tab/>
      </w:r>
      <w:r w:rsidRPr="00D10E71">
        <w:rPr>
          <w:b/>
        </w:rPr>
        <w:t>teigiamos</w:t>
      </w:r>
      <w:r w:rsidR="00D90B93" w:rsidRPr="00D10E71">
        <w:t xml:space="preserve"> – pagerės šilumos tinklų</w:t>
      </w:r>
      <w:r w:rsidRPr="00D10E71">
        <w:t xml:space="preserve"> būklė</w:t>
      </w:r>
      <w:r w:rsidR="00723D43">
        <w:t xml:space="preserve"> Rokiškio mieste;</w:t>
      </w:r>
    </w:p>
    <w:p w14:paraId="55AF6379" w14:textId="77777777" w:rsidR="003A7BA0" w:rsidRPr="00D10E71" w:rsidRDefault="003A7BA0" w:rsidP="00BF264F">
      <w:pPr>
        <w:tabs>
          <w:tab w:val="left" w:pos="709"/>
        </w:tabs>
        <w:jc w:val="both"/>
      </w:pPr>
      <w:r w:rsidRPr="00D10E71">
        <w:tab/>
      </w:r>
      <w:r w:rsidRPr="00D10E71">
        <w:rPr>
          <w:b/>
        </w:rPr>
        <w:t>neigiamos</w:t>
      </w:r>
      <w:r w:rsidRPr="00D10E71">
        <w:t xml:space="preserve"> – nėra.</w:t>
      </w:r>
    </w:p>
    <w:p w14:paraId="55AF637A" w14:textId="77777777" w:rsidR="003A7BA0" w:rsidRPr="00D10E71" w:rsidRDefault="003A7BA0" w:rsidP="00BF264F">
      <w:pPr>
        <w:tabs>
          <w:tab w:val="left" w:pos="709"/>
        </w:tabs>
        <w:jc w:val="both"/>
      </w:pPr>
      <w:r w:rsidRPr="00D10E71">
        <w:tab/>
      </w:r>
      <w:r w:rsidRPr="00D10E71">
        <w:rPr>
          <w:b/>
        </w:rPr>
        <w:t>Finansavimo šaltiniai ir lėšų poreikis</w:t>
      </w:r>
      <w:r w:rsidR="00D90B93" w:rsidRPr="00D10E71">
        <w:t xml:space="preserve">. </w:t>
      </w:r>
      <w:r w:rsidR="00BF264F" w:rsidRPr="00BF264F">
        <w:rPr>
          <w:sz w:val="22"/>
          <w:szCs w:val="22"/>
        </w:rPr>
        <w:t xml:space="preserve">Bendrovės </w:t>
      </w:r>
      <w:r w:rsidR="00D90B93" w:rsidRPr="00BF264F">
        <w:t>lėšos</w:t>
      </w:r>
      <w:r w:rsidRPr="00BF264F">
        <w:t>.</w:t>
      </w:r>
      <w:r w:rsidRPr="00D10E71">
        <w:t xml:space="preserve"> </w:t>
      </w:r>
    </w:p>
    <w:p w14:paraId="55AF637B" w14:textId="77777777" w:rsidR="003A7BA0" w:rsidRPr="00D10E71" w:rsidRDefault="003A7BA0" w:rsidP="00BF264F">
      <w:pPr>
        <w:tabs>
          <w:tab w:val="left" w:pos="709"/>
        </w:tabs>
        <w:jc w:val="both"/>
        <w:rPr>
          <w:b/>
        </w:rPr>
      </w:pPr>
      <w:r w:rsidRPr="00D10E71">
        <w:tab/>
      </w:r>
      <w:r w:rsidRPr="00D10E71">
        <w:rPr>
          <w:b/>
        </w:rPr>
        <w:t>Suderinamumas su Lietuvos Respublikos galiojančiais teisės norminiais aktais.</w:t>
      </w:r>
    </w:p>
    <w:p w14:paraId="55AF637D" w14:textId="29568F4A" w:rsidR="00544291" w:rsidRDefault="003A7BA0" w:rsidP="00BF264F">
      <w:pPr>
        <w:tabs>
          <w:tab w:val="left" w:pos="709"/>
        </w:tabs>
        <w:jc w:val="both"/>
      </w:pPr>
      <w:r w:rsidRPr="00D10E71">
        <w:tab/>
        <w:t>Projektas neprieštarauja galiojantiems teisės aktams.</w:t>
      </w:r>
    </w:p>
    <w:p w14:paraId="781599C8" w14:textId="77777777" w:rsidR="00F33AA6" w:rsidRPr="00651637" w:rsidRDefault="00F33AA6" w:rsidP="00F33AA6">
      <w:pPr>
        <w:jc w:val="both"/>
      </w:pPr>
      <w:r w:rsidRPr="00CE17E8">
        <w:rPr>
          <w:b/>
        </w:rPr>
        <w:t>Antikorupcinis ver</w:t>
      </w:r>
      <w:r w:rsidRPr="00651637">
        <w:rPr>
          <w:b/>
        </w:rPr>
        <w:t xml:space="preserve">tinimas- </w:t>
      </w:r>
      <w:r w:rsidRPr="00651637">
        <w:t xml:space="preserve">teisės akte nenumatoma reguliuoti visuomeninių santykių, susijusių su LR Korupcijos prevencijos įstatymo 8 str. 1 d. numatytais veiksniais, todėl teisės aktas nevertintinas antikorupciniu požiūriu. </w:t>
      </w:r>
    </w:p>
    <w:p w14:paraId="55AF637E" w14:textId="77777777" w:rsidR="00BE49D8" w:rsidRDefault="00BE49D8" w:rsidP="00BF264F">
      <w:pPr>
        <w:tabs>
          <w:tab w:val="left" w:pos="709"/>
        </w:tabs>
        <w:jc w:val="both"/>
      </w:pPr>
    </w:p>
    <w:p w14:paraId="55AF637F" w14:textId="77777777" w:rsidR="00BE49D8" w:rsidRDefault="00BE49D8" w:rsidP="00BF264F">
      <w:pPr>
        <w:tabs>
          <w:tab w:val="left" w:pos="709"/>
        </w:tabs>
        <w:jc w:val="both"/>
      </w:pPr>
    </w:p>
    <w:p w14:paraId="55AF6380" w14:textId="77777777" w:rsidR="00BE49D8" w:rsidRPr="007060B8" w:rsidRDefault="00BE49D8" w:rsidP="00BF264F">
      <w:pPr>
        <w:tabs>
          <w:tab w:val="left" w:pos="709"/>
        </w:tabs>
        <w:jc w:val="both"/>
      </w:pPr>
    </w:p>
    <w:p w14:paraId="00D09A7A" w14:textId="77777777" w:rsidR="00A7092F" w:rsidRDefault="003A7BA0" w:rsidP="00BF264F">
      <w:pPr>
        <w:jc w:val="both"/>
      </w:pPr>
      <w:r w:rsidRPr="007060B8">
        <w:t>Statybos ir infrastr</w:t>
      </w:r>
      <w:r w:rsidR="00E96FE4">
        <w:t xml:space="preserve">uktūros plėtros skyriaus </w:t>
      </w:r>
      <w:r w:rsidR="00F33AA6">
        <w:t xml:space="preserve"> </w:t>
      </w:r>
    </w:p>
    <w:p w14:paraId="55AF6382" w14:textId="5DC2D871" w:rsidR="00BF264F" w:rsidRPr="007060B8" w:rsidRDefault="00E96FE4" w:rsidP="00BF264F">
      <w:pPr>
        <w:jc w:val="both"/>
        <w:rPr>
          <w:sz w:val="32"/>
          <w:szCs w:val="32"/>
        </w:rPr>
      </w:pPr>
      <w:r>
        <w:t xml:space="preserve">vyriausioji specialistė </w:t>
      </w:r>
      <w:r>
        <w:tab/>
      </w:r>
      <w:r>
        <w:tab/>
      </w:r>
      <w:r>
        <w:tab/>
      </w:r>
      <w:r>
        <w:tab/>
        <w:t xml:space="preserve">Dovilė </w:t>
      </w:r>
      <w:proofErr w:type="spellStart"/>
      <w:r>
        <w:t>Pučinskienė</w:t>
      </w:r>
      <w:proofErr w:type="spellEnd"/>
    </w:p>
    <w:sectPr w:rsidR="00BF264F" w:rsidRPr="007060B8" w:rsidSect="006846D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3C5F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40D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2A9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E40E2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1A2B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EA07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FAE1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66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B039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10CFAE"/>
    <w:lvl w:ilvl="0">
      <w:start w:val="1"/>
      <w:numFmt w:val="bullet"/>
      <w:lvlText w:val=""/>
      <w:lvlJc w:val="left"/>
      <w:pPr>
        <w:tabs>
          <w:tab w:val="num" w:pos="360"/>
        </w:tabs>
        <w:ind w:left="360" w:hanging="360"/>
      </w:pPr>
      <w:rPr>
        <w:rFonts w:ascii="Symbol" w:hAnsi="Symbol" w:hint="default"/>
      </w:rPr>
    </w:lvl>
  </w:abstractNum>
  <w:abstractNum w:abstractNumId="10">
    <w:nsid w:val="10DD2577"/>
    <w:multiLevelType w:val="hybridMultilevel"/>
    <w:tmpl w:val="550ABECA"/>
    <w:lvl w:ilvl="0" w:tplc="DDA0D588">
      <w:start w:val="1"/>
      <w:numFmt w:val="decimal"/>
      <w:lvlText w:val="%1."/>
      <w:lvlJc w:val="left"/>
      <w:pPr>
        <w:ind w:left="1020" w:hanging="360"/>
      </w:pPr>
      <w:rPr>
        <w:rFonts w:cs="Times New Roman" w:hint="default"/>
      </w:rPr>
    </w:lvl>
    <w:lvl w:ilvl="1" w:tplc="04270019" w:tentative="1">
      <w:start w:val="1"/>
      <w:numFmt w:val="lowerLetter"/>
      <w:lvlText w:val="%2."/>
      <w:lvlJc w:val="left"/>
      <w:pPr>
        <w:ind w:left="1740" w:hanging="360"/>
      </w:pPr>
      <w:rPr>
        <w:rFonts w:cs="Times New Roman"/>
      </w:rPr>
    </w:lvl>
    <w:lvl w:ilvl="2" w:tplc="0427001B" w:tentative="1">
      <w:start w:val="1"/>
      <w:numFmt w:val="lowerRoman"/>
      <w:lvlText w:val="%3."/>
      <w:lvlJc w:val="right"/>
      <w:pPr>
        <w:ind w:left="2460" w:hanging="180"/>
      </w:pPr>
      <w:rPr>
        <w:rFonts w:cs="Times New Roman"/>
      </w:rPr>
    </w:lvl>
    <w:lvl w:ilvl="3" w:tplc="0427000F" w:tentative="1">
      <w:start w:val="1"/>
      <w:numFmt w:val="decimal"/>
      <w:lvlText w:val="%4."/>
      <w:lvlJc w:val="left"/>
      <w:pPr>
        <w:ind w:left="3180" w:hanging="360"/>
      </w:pPr>
      <w:rPr>
        <w:rFonts w:cs="Times New Roman"/>
      </w:rPr>
    </w:lvl>
    <w:lvl w:ilvl="4" w:tplc="04270019" w:tentative="1">
      <w:start w:val="1"/>
      <w:numFmt w:val="lowerLetter"/>
      <w:lvlText w:val="%5."/>
      <w:lvlJc w:val="left"/>
      <w:pPr>
        <w:ind w:left="3900" w:hanging="360"/>
      </w:pPr>
      <w:rPr>
        <w:rFonts w:cs="Times New Roman"/>
      </w:rPr>
    </w:lvl>
    <w:lvl w:ilvl="5" w:tplc="0427001B" w:tentative="1">
      <w:start w:val="1"/>
      <w:numFmt w:val="lowerRoman"/>
      <w:lvlText w:val="%6."/>
      <w:lvlJc w:val="right"/>
      <w:pPr>
        <w:ind w:left="4620" w:hanging="180"/>
      </w:pPr>
      <w:rPr>
        <w:rFonts w:cs="Times New Roman"/>
      </w:rPr>
    </w:lvl>
    <w:lvl w:ilvl="6" w:tplc="0427000F" w:tentative="1">
      <w:start w:val="1"/>
      <w:numFmt w:val="decimal"/>
      <w:lvlText w:val="%7."/>
      <w:lvlJc w:val="left"/>
      <w:pPr>
        <w:ind w:left="5340" w:hanging="360"/>
      </w:pPr>
      <w:rPr>
        <w:rFonts w:cs="Times New Roman"/>
      </w:rPr>
    </w:lvl>
    <w:lvl w:ilvl="7" w:tplc="04270019" w:tentative="1">
      <w:start w:val="1"/>
      <w:numFmt w:val="lowerLetter"/>
      <w:lvlText w:val="%8."/>
      <w:lvlJc w:val="left"/>
      <w:pPr>
        <w:ind w:left="6060" w:hanging="360"/>
      </w:pPr>
      <w:rPr>
        <w:rFonts w:cs="Times New Roman"/>
      </w:rPr>
    </w:lvl>
    <w:lvl w:ilvl="8" w:tplc="0427001B" w:tentative="1">
      <w:start w:val="1"/>
      <w:numFmt w:val="lowerRoman"/>
      <w:lvlText w:val="%9."/>
      <w:lvlJc w:val="right"/>
      <w:pPr>
        <w:ind w:left="6780" w:hanging="180"/>
      </w:pPr>
      <w:rPr>
        <w:rFonts w:cs="Times New Roman"/>
      </w:rPr>
    </w:lvl>
  </w:abstractNum>
  <w:abstractNum w:abstractNumId="11">
    <w:nsid w:val="1BD576A5"/>
    <w:multiLevelType w:val="hybridMultilevel"/>
    <w:tmpl w:val="3EA0FD32"/>
    <w:lvl w:ilvl="0" w:tplc="75828ED6">
      <w:start w:val="2"/>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2">
    <w:nsid w:val="38BF2AB3"/>
    <w:multiLevelType w:val="hybridMultilevel"/>
    <w:tmpl w:val="F65609A2"/>
    <w:lvl w:ilvl="0" w:tplc="F8403262">
      <w:start w:val="1"/>
      <w:numFmt w:val="decimal"/>
      <w:lvlText w:val="%1."/>
      <w:lvlJc w:val="left"/>
      <w:pPr>
        <w:ind w:left="600" w:hanging="360"/>
      </w:pPr>
      <w:rPr>
        <w:rFonts w:cs="Times New Roman" w:hint="default"/>
        <w:b/>
      </w:rPr>
    </w:lvl>
    <w:lvl w:ilvl="1" w:tplc="04270019" w:tentative="1">
      <w:start w:val="1"/>
      <w:numFmt w:val="lowerLetter"/>
      <w:lvlText w:val="%2."/>
      <w:lvlJc w:val="left"/>
      <w:pPr>
        <w:ind w:left="1320" w:hanging="360"/>
      </w:pPr>
      <w:rPr>
        <w:rFonts w:cs="Times New Roman"/>
      </w:rPr>
    </w:lvl>
    <w:lvl w:ilvl="2" w:tplc="0427001B" w:tentative="1">
      <w:start w:val="1"/>
      <w:numFmt w:val="lowerRoman"/>
      <w:lvlText w:val="%3."/>
      <w:lvlJc w:val="right"/>
      <w:pPr>
        <w:ind w:left="2040" w:hanging="180"/>
      </w:pPr>
      <w:rPr>
        <w:rFonts w:cs="Times New Roman"/>
      </w:rPr>
    </w:lvl>
    <w:lvl w:ilvl="3" w:tplc="0427000F" w:tentative="1">
      <w:start w:val="1"/>
      <w:numFmt w:val="decimal"/>
      <w:lvlText w:val="%4."/>
      <w:lvlJc w:val="left"/>
      <w:pPr>
        <w:ind w:left="2760" w:hanging="360"/>
      </w:pPr>
      <w:rPr>
        <w:rFonts w:cs="Times New Roman"/>
      </w:rPr>
    </w:lvl>
    <w:lvl w:ilvl="4" w:tplc="04270019" w:tentative="1">
      <w:start w:val="1"/>
      <w:numFmt w:val="lowerLetter"/>
      <w:lvlText w:val="%5."/>
      <w:lvlJc w:val="left"/>
      <w:pPr>
        <w:ind w:left="3480" w:hanging="360"/>
      </w:pPr>
      <w:rPr>
        <w:rFonts w:cs="Times New Roman"/>
      </w:rPr>
    </w:lvl>
    <w:lvl w:ilvl="5" w:tplc="0427001B" w:tentative="1">
      <w:start w:val="1"/>
      <w:numFmt w:val="lowerRoman"/>
      <w:lvlText w:val="%6."/>
      <w:lvlJc w:val="right"/>
      <w:pPr>
        <w:ind w:left="4200" w:hanging="180"/>
      </w:pPr>
      <w:rPr>
        <w:rFonts w:cs="Times New Roman"/>
      </w:rPr>
    </w:lvl>
    <w:lvl w:ilvl="6" w:tplc="0427000F" w:tentative="1">
      <w:start w:val="1"/>
      <w:numFmt w:val="decimal"/>
      <w:lvlText w:val="%7."/>
      <w:lvlJc w:val="left"/>
      <w:pPr>
        <w:ind w:left="4920" w:hanging="360"/>
      </w:pPr>
      <w:rPr>
        <w:rFonts w:cs="Times New Roman"/>
      </w:rPr>
    </w:lvl>
    <w:lvl w:ilvl="7" w:tplc="04270019" w:tentative="1">
      <w:start w:val="1"/>
      <w:numFmt w:val="lowerLetter"/>
      <w:lvlText w:val="%8."/>
      <w:lvlJc w:val="left"/>
      <w:pPr>
        <w:ind w:left="5640" w:hanging="360"/>
      </w:pPr>
      <w:rPr>
        <w:rFonts w:cs="Times New Roman"/>
      </w:rPr>
    </w:lvl>
    <w:lvl w:ilvl="8" w:tplc="0427001B" w:tentative="1">
      <w:start w:val="1"/>
      <w:numFmt w:val="lowerRoman"/>
      <w:lvlText w:val="%9."/>
      <w:lvlJc w:val="right"/>
      <w:pPr>
        <w:ind w:left="6360" w:hanging="180"/>
      </w:pPr>
      <w:rPr>
        <w:rFonts w:cs="Times New Roman"/>
      </w:rPr>
    </w:lvl>
  </w:abstractNum>
  <w:abstractNum w:abstractNumId="13">
    <w:nsid w:val="5090692C"/>
    <w:multiLevelType w:val="hybridMultilevel"/>
    <w:tmpl w:val="3454C3E0"/>
    <w:lvl w:ilvl="0" w:tplc="0FE6602E">
      <w:start w:val="18"/>
      <w:numFmt w:val="upperLetter"/>
      <w:lvlText w:val="%1."/>
      <w:lvlJc w:val="left"/>
      <w:pPr>
        <w:ind w:left="74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4">
    <w:nsid w:val="5D9039D2"/>
    <w:multiLevelType w:val="hybridMultilevel"/>
    <w:tmpl w:val="951849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E3"/>
    <w:rsid w:val="000009AD"/>
    <w:rsid w:val="000073F1"/>
    <w:rsid w:val="00012266"/>
    <w:rsid w:val="000126CF"/>
    <w:rsid w:val="000140E8"/>
    <w:rsid w:val="00030A48"/>
    <w:rsid w:val="00043F02"/>
    <w:rsid w:val="00046F59"/>
    <w:rsid w:val="00051B47"/>
    <w:rsid w:val="00093DA8"/>
    <w:rsid w:val="000A161D"/>
    <w:rsid w:val="000B2603"/>
    <w:rsid w:val="000C3AAB"/>
    <w:rsid w:val="000C5C6A"/>
    <w:rsid w:val="000E0AEE"/>
    <w:rsid w:val="000F75EA"/>
    <w:rsid w:val="000F7E07"/>
    <w:rsid w:val="00110ABD"/>
    <w:rsid w:val="001178CB"/>
    <w:rsid w:val="00120DD7"/>
    <w:rsid w:val="00120FCA"/>
    <w:rsid w:val="0012484F"/>
    <w:rsid w:val="00132189"/>
    <w:rsid w:val="00132720"/>
    <w:rsid w:val="001339D3"/>
    <w:rsid w:val="001362FE"/>
    <w:rsid w:val="00136F35"/>
    <w:rsid w:val="00141A10"/>
    <w:rsid w:val="0014542B"/>
    <w:rsid w:val="0014587E"/>
    <w:rsid w:val="001470F3"/>
    <w:rsid w:val="001507FF"/>
    <w:rsid w:val="001543FE"/>
    <w:rsid w:val="001631B1"/>
    <w:rsid w:val="00165DB5"/>
    <w:rsid w:val="001717F5"/>
    <w:rsid w:val="00181A3E"/>
    <w:rsid w:val="00186AE7"/>
    <w:rsid w:val="0019215D"/>
    <w:rsid w:val="001E1455"/>
    <w:rsid w:val="001F1461"/>
    <w:rsid w:val="001F4435"/>
    <w:rsid w:val="002130E9"/>
    <w:rsid w:val="00217A6B"/>
    <w:rsid w:val="00236D89"/>
    <w:rsid w:val="00237682"/>
    <w:rsid w:val="00255606"/>
    <w:rsid w:val="00262290"/>
    <w:rsid w:val="00277195"/>
    <w:rsid w:val="00284869"/>
    <w:rsid w:val="00285C4E"/>
    <w:rsid w:val="002B3281"/>
    <w:rsid w:val="002B3917"/>
    <w:rsid w:val="002C7D97"/>
    <w:rsid w:val="002D3C17"/>
    <w:rsid w:val="002E6122"/>
    <w:rsid w:val="002E7AE3"/>
    <w:rsid w:val="00303C20"/>
    <w:rsid w:val="00315900"/>
    <w:rsid w:val="003169EE"/>
    <w:rsid w:val="003202F0"/>
    <w:rsid w:val="00335A69"/>
    <w:rsid w:val="003505A9"/>
    <w:rsid w:val="0035101E"/>
    <w:rsid w:val="00352C7E"/>
    <w:rsid w:val="003532D9"/>
    <w:rsid w:val="003553B6"/>
    <w:rsid w:val="00355719"/>
    <w:rsid w:val="003575A7"/>
    <w:rsid w:val="00367FC5"/>
    <w:rsid w:val="00375FD0"/>
    <w:rsid w:val="00387F68"/>
    <w:rsid w:val="00394523"/>
    <w:rsid w:val="003A295C"/>
    <w:rsid w:val="003A7BA0"/>
    <w:rsid w:val="003C5881"/>
    <w:rsid w:val="003D0851"/>
    <w:rsid w:val="003D6229"/>
    <w:rsid w:val="003F6469"/>
    <w:rsid w:val="004151EF"/>
    <w:rsid w:val="0043152D"/>
    <w:rsid w:val="00431A3D"/>
    <w:rsid w:val="00441256"/>
    <w:rsid w:val="004414FD"/>
    <w:rsid w:val="0045154B"/>
    <w:rsid w:val="00453358"/>
    <w:rsid w:val="004635C3"/>
    <w:rsid w:val="00472CC4"/>
    <w:rsid w:val="00473ABB"/>
    <w:rsid w:val="00481DA6"/>
    <w:rsid w:val="004A43EE"/>
    <w:rsid w:val="004B22DD"/>
    <w:rsid w:val="004B7F4A"/>
    <w:rsid w:val="004C1D58"/>
    <w:rsid w:val="004C50EE"/>
    <w:rsid w:val="004D1036"/>
    <w:rsid w:val="004E18D6"/>
    <w:rsid w:val="004E3204"/>
    <w:rsid w:val="004E3C2C"/>
    <w:rsid w:val="00535691"/>
    <w:rsid w:val="005401B0"/>
    <w:rsid w:val="00543BAD"/>
    <w:rsid w:val="00544291"/>
    <w:rsid w:val="005449B3"/>
    <w:rsid w:val="005652D4"/>
    <w:rsid w:val="0057319A"/>
    <w:rsid w:val="00576CD7"/>
    <w:rsid w:val="00595675"/>
    <w:rsid w:val="005A2559"/>
    <w:rsid w:val="005A736D"/>
    <w:rsid w:val="005B0859"/>
    <w:rsid w:val="005B5095"/>
    <w:rsid w:val="005C1CF4"/>
    <w:rsid w:val="005C2292"/>
    <w:rsid w:val="005D451F"/>
    <w:rsid w:val="005D74B9"/>
    <w:rsid w:val="005E2343"/>
    <w:rsid w:val="005E3E29"/>
    <w:rsid w:val="005F0D23"/>
    <w:rsid w:val="00603566"/>
    <w:rsid w:val="00611D29"/>
    <w:rsid w:val="00614B81"/>
    <w:rsid w:val="0063478C"/>
    <w:rsid w:val="00634A52"/>
    <w:rsid w:val="00655AD5"/>
    <w:rsid w:val="00655AF1"/>
    <w:rsid w:val="00656F5D"/>
    <w:rsid w:val="00661AFE"/>
    <w:rsid w:val="006679C7"/>
    <w:rsid w:val="006748E2"/>
    <w:rsid w:val="006846D7"/>
    <w:rsid w:val="00687360"/>
    <w:rsid w:val="006A62FF"/>
    <w:rsid w:val="006C35D0"/>
    <w:rsid w:val="00704447"/>
    <w:rsid w:val="007060B8"/>
    <w:rsid w:val="00721474"/>
    <w:rsid w:val="00723D43"/>
    <w:rsid w:val="007266D8"/>
    <w:rsid w:val="00743EE6"/>
    <w:rsid w:val="0077038E"/>
    <w:rsid w:val="0077212D"/>
    <w:rsid w:val="007777C8"/>
    <w:rsid w:val="00780B07"/>
    <w:rsid w:val="00791E0A"/>
    <w:rsid w:val="007A05D4"/>
    <w:rsid w:val="007A1558"/>
    <w:rsid w:val="007A7472"/>
    <w:rsid w:val="007B0376"/>
    <w:rsid w:val="007B1F0C"/>
    <w:rsid w:val="007B45C9"/>
    <w:rsid w:val="007E4433"/>
    <w:rsid w:val="007E5807"/>
    <w:rsid w:val="007E6AD0"/>
    <w:rsid w:val="00812FFB"/>
    <w:rsid w:val="008208AB"/>
    <w:rsid w:val="00820D36"/>
    <w:rsid w:val="00822A9F"/>
    <w:rsid w:val="00822AF1"/>
    <w:rsid w:val="00836108"/>
    <w:rsid w:val="008405D6"/>
    <w:rsid w:val="00842EFF"/>
    <w:rsid w:val="00852313"/>
    <w:rsid w:val="00853AA5"/>
    <w:rsid w:val="008547C5"/>
    <w:rsid w:val="00857E68"/>
    <w:rsid w:val="00867566"/>
    <w:rsid w:val="008741FA"/>
    <w:rsid w:val="008807C2"/>
    <w:rsid w:val="00880C56"/>
    <w:rsid w:val="00892B93"/>
    <w:rsid w:val="0089439C"/>
    <w:rsid w:val="00894D1C"/>
    <w:rsid w:val="008A1458"/>
    <w:rsid w:val="008D1BCB"/>
    <w:rsid w:val="008D1CF8"/>
    <w:rsid w:val="008D29DD"/>
    <w:rsid w:val="008D7A7A"/>
    <w:rsid w:val="008E47D4"/>
    <w:rsid w:val="008E4A49"/>
    <w:rsid w:val="008F6BA0"/>
    <w:rsid w:val="0092110C"/>
    <w:rsid w:val="009862D6"/>
    <w:rsid w:val="009A718F"/>
    <w:rsid w:val="009C15D7"/>
    <w:rsid w:val="009C2472"/>
    <w:rsid w:val="009D45A9"/>
    <w:rsid w:val="009E7420"/>
    <w:rsid w:val="009E7D94"/>
    <w:rsid w:val="009F5914"/>
    <w:rsid w:val="009F6BAB"/>
    <w:rsid w:val="00A063EA"/>
    <w:rsid w:val="00A1737E"/>
    <w:rsid w:val="00A3160D"/>
    <w:rsid w:val="00A34561"/>
    <w:rsid w:val="00A431C9"/>
    <w:rsid w:val="00A43D6E"/>
    <w:rsid w:val="00A6212D"/>
    <w:rsid w:val="00A7092F"/>
    <w:rsid w:val="00A807E7"/>
    <w:rsid w:val="00A8321F"/>
    <w:rsid w:val="00A8568C"/>
    <w:rsid w:val="00AB7625"/>
    <w:rsid w:val="00AC3AA0"/>
    <w:rsid w:val="00AC7021"/>
    <w:rsid w:val="00AD227E"/>
    <w:rsid w:val="00AE36F3"/>
    <w:rsid w:val="00AE4E4D"/>
    <w:rsid w:val="00AE6899"/>
    <w:rsid w:val="00AF4CE7"/>
    <w:rsid w:val="00AF5814"/>
    <w:rsid w:val="00B11224"/>
    <w:rsid w:val="00B12461"/>
    <w:rsid w:val="00B13576"/>
    <w:rsid w:val="00B232F0"/>
    <w:rsid w:val="00B416F5"/>
    <w:rsid w:val="00B55FD4"/>
    <w:rsid w:val="00B7118A"/>
    <w:rsid w:val="00B73BD1"/>
    <w:rsid w:val="00B75AC7"/>
    <w:rsid w:val="00B80C9F"/>
    <w:rsid w:val="00B83939"/>
    <w:rsid w:val="00B8486B"/>
    <w:rsid w:val="00B875C8"/>
    <w:rsid w:val="00B87D82"/>
    <w:rsid w:val="00BA245C"/>
    <w:rsid w:val="00BA5AE9"/>
    <w:rsid w:val="00BC1495"/>
    <w:rsid w:val="00BC1BA9"/>
    <w:rsid w:val="00BC4914"/>
    <w:rsid w:val="00BC571F"/>
    <w:rsid w:val="00BD3394"/>
    <w:rsid w:val="00BD5B18"/>
    <w:rsid w:val="00BD6AA6"/>
    <w:rsid w:val="00BD6CAE"/>
    <w:rsid w:val="00BE49D8"/>
    <w:rsid w:val="00BE4E35"/>
    <w:rsid w:val="00BF264F"/>
    <w:rsid w:val="00C01F57"/>
    <w:rsid w:val="00C138BE"/>
    <w:rsid w:val="00C2664D"/>
    <w:rsid w:val="00C418BE"/>
    <w:rsid w:val="00C51343"/>
    <w:rsid w:val="00C63DD2"/>
    <w:rsid w:val="00C729AD"/>
    <w:rsid w:val="00C761CF"/>
    <w:rsid w:val="00CA559D"/>
    <w:rsid w:val="00CA7D60"/>
    <w:rsid w:val="00CB0552"/>
    <w:rsid w:val="00CB60F0"/>
    <w:rsid w:val="00CC088A"/>
    <w:rsid w:val="00CC361E"/>
    <w:rsid w:val="00CD5227"/>
    <w:rsid w:val="00CE506B"/>
    <w:rsid w:val="00CE6DF7"/>
    <w:rsid w:val="00CE706A"/>
    <w:rsid w:val="00D05C5F"/>
    <w:rsid w:val="00D064BE"/>
    <w:rsid w:val="00D07A16"/>
    <w:rsid w:val="00D10E71"/>
    <w:rsid w:val="00D12FFA"/>
    <w:rsid w:val="00D21B77"/>
    <w:rsid w:val="00D22033"/>
    <w:rsid w:val="00D23497"/>
    <w:rsid w:val="00D42F16"/>
    <w:rsid w:val="00D44E68"/>
    <w:rsid w:val="00D60A6E"/>
    <w:rsid w:val="00D803D3"/>
    <w:rsid w:val="00D82005"/>
    <w:rsid w:val="00D90B93"/>
    <w:rsid w:val="00D93167"/>
    <w:rsid w:val="00DA20BF"/>
    <w:rsid w:val="00DC02CC"/>
    <w:rsid w:val="00DE0362"/>
    <w:rsid w:val="00DE3807"/>
    <w:rsid w:val="00DF561D"/>
    <w:rsid w:val="00E061A2"/>
    <w:rsid w:val="00E15700"/>
    <w:rsid w:val="00E24D83"/>
    <w:rsid w:val="00E31AD1"/>
    <w:rsid w:val="00E646E2"/>
    <w:rsid w:val="00E96620"/>
    <w:rsid w:val="00E96FE4"/>
    <w:rsid w:val="00EE3360"/>
    <w:rsid w:val="00EF0EF8"/>
    <w:rsid w:val="00EF7BD4"/>
    <w:rsid w:val="00F015D1"/>
    <w:rsid w:val="00F116E7"/>
    <w:rsid w:val="00F16645"/>
    <w:rsid w:val="00F33AA6"/>
    <w:rsid w:val="00F40C23"/>
    <w:rsid w:val="00F51322"/>
    <w:rsid w:val="00F65A4C"/>
    <w:rsid w:val="00F7060F"/>
    <w:rsid w:val="00F74ED8"/>
    <w:rsid w:val="00F83B47"/>
    <w:rsid w:val="00FA2653"/>
    <w:rsid w:val="00FA5DF6"/>
    <w:rsid w:val="00FB0F6D"/>
    <w:rsid w:val="00FB2ED2"/>
    <w:rsid w:val="00FB5765"/>
    <w:rsid w:val="00FB68F6"/>
    <w:rsid w:val="00FC3008"/>
    <w:rsid w:val="00FC5D13"/>
    <w:rsid w:val="00FD5232"/>
    <w:rsid w:val="00FD6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F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99"/>
    <w:qFormat/>
    <w:rsid w:val="0012484F"/>
    <w:pPr>
      <w:ind w:left="720"/>
      <w:contextualSpacing/>
    </w:pPr>
  </w:style>
  <w:style w:type="paragraph" w:styleId="Antrats">
    <w:name w:val="header"/>
    <w:basedOn w:val="prastasis"/>
    <w:link w:val="AntratsDiagrama"/>
    <w:uiPriority w:val="99"/>
    <w:semiHidden/>
    <w:rsid w:val="00D23497"/>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semiHidden/>
    <w:locked/>
    <w:rsid w:val="00D23497"/>
    <w:rPr>
      <w:rFonts w:ascii="Times New Roman" w:hAnsi="Times New Roman" w:cs="Times New Roman"/>
      <w:sz w:val="20"/>
      <w:szCs w:val="20"/>
      <w:lang w:val="en-AU"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99"/>
    <w:qFormat/>
    <w:rsid w:val="0012484F"/>
    <w:pPr>
      <w:ind w:left="720"/>
      <w:contextualSpacing/>
    </w:pPr>
  </w:style>
  <w:style w:type="paragraph" w:styleId="Antrats">
    <w:name w:val="header"/>
    <w:basedOn w:val="prastasis"/>
    <w:link w:val="AntratsDiagrama"/>
    <w:uiPriority w:val="99"/>
    <w:semiHidden/>
    <w:rsid w:val="00D23497"/>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semiHidden/>
    <w:locked/>
    <w:rsid w:val="00D23497"/>
    <w:rPr>
      <w:rFonts w:ascii="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98051">
      <w:marLeft w:val="0"/>
      <w:marRight w:val="0"/>
      <w:marTop w:val="0"/>
      <w:marBottom w:val="0"/>
      <w:divBdr>
        <w:top w:val="none" w:sz="0" w:space="0" w:color="auto"/>
        <w:left w:val="none" w:sz="0" w:space="0" w:color="auto"/>
        <w:bottom w:val="none" w:sz="0" w:space="0" w:color="auto"/>
        <w:right w:val="none" w:sz="0" w:space="0" w:color="auto"/>
      </w:divBdr>
    </w:div>
    <w:div w:id="1244798052">
      <w:marLeft w:val="0"/>
      <w:marRight w:val="0"/>
      <w:marTop w:val="0"/>
      <w:marBottom w:val="0"/>
      <w:divBdr>
        <w:top w:val="none" w:sz="0" w:space="0" w:color="auto"/>
        <w:left w:val="none" w:sz="0" w:space="0" w:color="auto"/>
        <w:bottom w:val="none" w:sz="0" w:space="0" w:color="auto"/>
        <w:right w:val="none" w:sz="0" w:space="0" w:color="auto"/>
      </w:divBdr>
    </w:div>
    <w:div w:id="1244798053">
      <w:marLeft w:val="0"/>
      <w:marRight w:val="0"/>
      <w:marTop w:val="0"/>
      <w:marBottom w:val="0"/>
      <w:divBdr>
        <w:top w:val="none" w:sz="0" w:space="0" w:color="auto"/>
        <w:left w:val="none" w:sz="0" w:space="0" w:color="auto"/>
        <w:bottom w:val="none" w:sz="0" w:space="0" w:color="auto"/>
        <w:right w:val="none" w:sz="0" w:space="0" w:color="auto"/>
      </w:divBdr>
    </w:div>
    <w:div w:id="1244798054">
      <w:marLeft w:val="0"/>
      <w:marRight w:val="0"/>
      <w:marTop w:val="0"/>
      <w:marBottom w:val="0"/>
      <w:divBdr>
        <w:top w:val="none" w:sz="0" w:space="0" w:color="auto"/>
        <w:left w:val="none" w:sz="0" w:space="0" w:color="auto"/>
        <w:bottom w:val="none" w:sz="0" w:space="0" w:color="auto"/>
        <w:right w:val="none" w:sz="0" w:space="0" w:color="auto"/>
      </w:divBdr>
    </w:div>
    <w:div w:id="1244798055">
      <w:marLeft w:val="0"/>
      <w:marRight w:val="0"/>
      <w:marTop w:val="0"/>
      <w:marBottom w:val="0"/>
      <w:divBdr>
        <w:top w:val="none" w:sz="0" w:space="0" w:color="auto"/>
        <w:left w:val="none" w:sz="0" w:space="0" w:color="auto"/>
        <w:bottom w:val="none" w:sz="0" w:space="0" w:color="auto"/>
        <w:right w:val="none" w:sz="0" w:space="0" w:color="auto"/>
      </w:divBdr>
    </w:div>
    <w:div w:id="1244798056">
      <w:marLeft w:val="0"/>
      <w:marRight w:val="0"/>
      <w:marTop w:val="0"/>
      <w:marBottom w:val="0"/>
      <w:divBdr>
        <w:top w:val="none" w:sz="0" w:space="0" w:color="auto"/>
        <w:left w:val="none" w:sz="0" w:space="0" w:color="auto"/>
        <w:bottom w:val="none" w:sz="0" w:space="0" w:color="auto"/>
        <w:right w:val="none" w:sz="0" w:space="0" w:color="auto"/>
      </w:divBdr>
    </w:div>
    <w:div w:id="1244798057">
      <w:marLeft w:val="0"/>
      <w:marRight w:val="0"/>
      <w:marTop w:val="0"/>
      <w:marBottom w:val="0"/>
      <w:divBdr>
        <w:top w:val="none" w:sz="0" w:space="0" w:color="auto"/>
        <w:left w:val="none" w:sz="0" w:space="0" w:color="auto"/>
        <w:bottom w:val="none" w:sz="0" w:space="0" w:color="auto"/>
        <w:right w:val="none" w:sz="0" w:space="0" w:color="auto"/>
      </w:divBdr>
    </w:div>
    <w:div w:id="18166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2819</Words>
  <Characters>1607</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DT</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keliai</dc:creator>
  <cp:lastModifiedBy>Asta Zakareviciene</cp:lastModifiedBy>
  <cp:revision>2</cp:revision>
  <cp:lastPrinted>2016-06-01T06:10:00Z</cp:lastPrinted>
  <dcterms:created xsi:type="dcterms:W3CDTF">2016-06-01T06:14:00Z</dcterms:created>
  <dcterms:modified xsi:type="dcterms:W3CDTF">2016-06-01T06:14:00Z</dcterms:modified>
</cp:coreProperties>
</file>