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7B0A6" w14:textId="77777777" w:rsidR="00452792" w:rsidRDefault="00452792" w:rsidP="0045279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2053">
        <w:rPr>
          <w:b/>
        </w:rPr>
        <w:t xml:space="preserve">   </w:t>
      </w:r>
    </w:p>
    <w:p w14:paraId="3600885A" w14:textId="77777777" w:rsidR="00452792" w:rsidRDefault="00452792" w:rsidP="00452792"/>
    <w:p w14:paraId="4D7BB970" w14:textId="4A578C2C" w:rsidR="00452792" w:rsidRPr="009D61DA" w:rsidRDefault="00452792" w:rsidP="00350214">
      <w:pPr>
        <w:jc w:val="center"/>
      </w:pPr>
      <w:r>
        <w:rPr>
          <w:noProof/>
        </w:rPr>
        <w:drawing>
          <wp:inline distT="0" distB="0" distL="0" distR="0" wp14:anchorId="1049D66F" wp14:editId="7BB4251B">
            <wp:extent cx="546100" cy="695960"/>
            <wp:effectExtent l="0" t="0" r="6350" b="889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E83D" w14:textId="77777777" w:rsidR="00452792" w:rsidRDefault="00452792" w:rsidP="00452792">
      <w:pPr>
        <w:rPr>
          <w:rFonts w:ascii="TimesLT" w:hAnsi="TimesLT"/>
          <w:b/>
        </w:rPr>
      </w:pPr>
      <w:r>
        <w:rPr>
          <w:rFonts w:ascii="TimesLT" w:hAnsi="TimesLT"/>
          <w:b/>
        </w:rPr>
        <w:t xml:space="preserve">          </w:t>
      </w:r>
    </w:p>
    <w:p w14:paraId="122B2AE1" w14:textId="77777777" w:rsidR="00452792" w:rsidRDefault="00452792" w:rsidP="00452792">
      <w:pPr>
        <w:rPr>
          <w:rFonts w:ascii="TimesLT" w:hAnsi="TimesLT"/>
          <w:b/>
        </w:rPr>
      </w:pPr>
    </w:p>
    <w:p w14:paraId="1D18AE7E" w14:textId="77777777" w:rsidR="00452792" w:rsidRPr="0025433F" w:rsidRDefault="00452792" w:rsidP="00452792">
      <w:pPr>
        <w:jc w:val="center"/>
        <w:rPr>
          <w:b/>
        </w:rPr>
      </w:pPr>
      <w:r w:rsidRPr="0025433F">
        <w:rPr>
          <w:b/>
        </w:rPr>
        <w:t>ROKIŠKIO RAJONO SAVIVALDYBĖS TARYBA</w:t>
      </w:r>
    </w:p>
    <w:p w14:paraId="56EAC674" w14:textId="77777777" w:rsidR="00452792" w:rsidRPr="0025433F" w:rsidRDefault="00452792" w:rsidP="00452792">
      <w:pPr>
        <w:jc w:val="center"/>
        <w:rPr>
          <w:b/>
        </w:rPr>
      </w:pPr>
    </w:p>
    <w:p w14:paraId="07CC3034" w14:textId="77777777" w:rsidR="00452792" w:rsidRPr="0025433F" w:rsidRDefault="00452792" w:rsidP="00452792">
      <w:pPr>
        <w:jc w:val="center"/>
        <w:rPr>
          <w:b/>
        </w:rPr>
      </w:pPr>
      <w:r w:rsidRPr="0025433F">
        <w:rPr>
          <w:b/>
        </w:rPr>
        <w:t>SPRENDIMAS</w:t>
      </w:r>
    </w:p>
    <w:p w14:paraId="37BF3990" w14:textId="1A9CD604" w:rsidR="002A2053" w:rsidRDefault="007251B8" w:rsidP="0045279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>DĖL DIDŽIAUSIO LEISTINO DARBUOTOJŲ PAREIGYBIŲ SKAIČIAUS</w:t>
      </w:r>
      <w:r>
        <w:rPr>
          <w:b/>
        </w:rPr>
        <w:t xml:space="preserve"> PATVIRTINIMO ROKIŠKIO RAJONO SAVI</w:t>
      </w:r>
      <w:r w:rsidR="00452792">
        <w:rPr>
          <w:b/>
        </w:rPr>
        <w:t>VALDYBĖS BIUDŽETINĖSE ĮSTAIGOSE</w:t>
      </w:r>
      <w:r w:rsidR="002A2053" w:rsidRPr="002A2053">
        <w:rPr>
          <w:b/>
        </w:rPr>
        <w:t xml:space="preserve"> </w:t>
      </w:r>
    </w:p>
    <w:p w14:paraId="484EA364" w14:textId="77777777" w:rsidR="00251760" w:rsidRPr="002A2053" w:rsidRDefault="00251760" w:rsidP="002A2053">
      <w:pPr>
        <w:jc w:val="center"/>
        <w:rPr>
          <w:b/>
        </w:rPr>
      </w:pPr>
    </w:p>
    <w:p w14:paraId="3E101BCF" w14:textId="734FFB50" w:rsidR="002A2053" w:rsidRPr="002A2053" w:rsidRDefault="002A2053" w:rsidP="002A2053">
      <w:pPr>
        <w:tabs>
          <w:tab w:val="center" w:pos="4790"/>
          <w:tab w:val="left" w:pos="7846"/>
        </w:tabs>
      </w:pPr>
      <w:r w:rsidRPr="002A2053">
        <w:tab/>
        <w:t>202</w:t>
      </w:r>
      <w:r w:rsidR="00251760">
        <w:t>2</w:t>
      </w:r>
      <w:r w:rsidRPr="002A2053">
        <w:t xml:space="preserve"> m. </w:t>
      </w:r>
      <w:r w:rsidR="00251760">
        <w:t>vasario</w:t>
      </w:r>
      <w:r w:rsidRPr="002A2053">
        <w:t xml:space="preserve">  23 d. Nr. TS-</w:t>
      </w:r>
      <w:r w:rsidRPr="002A2053">
        <w:tab/>
      </w:r>
    </w:p>
    <w:p w14:paraId="0B07AD84" w14:textId="77777777" w:rsidR="002A2053" w:rsidRPr="002A2053" w:rsidRDefault="002A2053" w:rsidP="002A2053">
      <w:pPr>
        <w:jc w:val="center"/>
      </w:pPr>
      <w:r w:rsidRPr="002A2053">
        <w:t>Rokiškis</w:t>
      </w:r>
    </w:p>
    <w:p w14:paraId="31E2AF7E" w14:textId="77777777" w:rsidR="002A2053" w:rsidRPr="002A2053" w:rsidRDefault="002A2053" w:rsidP="002A2053"/>
    <w:p w14:paraId="4ACA95ED" w14:textId="77777777" w:rsidR="00350214" w:rsidRDefault="002A2053" w:rsidP="00350214">
      <w:pPr>
        <w:ind w:firstLine="709"/>
        <w:jc w:val="both"/>
      </w:pPr>
      <w:r w:rsidRPr="002A2053">
        <w:t>Vadovaudamasi Lietuvos Respublikos vietos savivaldos įstatymo 18 straipsnio 1 dalimi, Lietuvos Respublikos biudžetinių įstaigų įstatymo 4 straipsnio 3 dalies 7 punktu ir 4 dalimi, Lietuvos Respublikos valstybės tarnybos įstatymo 8 straipsnio 1 dalimi, dalies 15 punktu, 18 straipsnio 1 dalimi, Rokiškio rajono savivaldybės taryba n u s p r e n d ž i a:</w:t>
      </w:r>
    </w:p>
    <w:p w14:paraId="3E20CF32" w14:textId="77777777" w:rsidR="00350214" w:rsidRDefault="00350214" w:rsidP="00350214">
      <w:pPr>
        <w:ind w:firstLine="709"/>
        <w:jc w:val="both"/>
      </w:pPr>
      <w:r>
        <w:t xml:space="preserve">1. </w:t>
      </w:r>
      <w:r w:rsidR="007251B8" w:rsidRPr="00BB222A">
        <w:rPr>
          <w:szCs w:val="20"/>
        </w:rPr>
        <w:t>Patvirtinti didžiausią leistiną darbuotojų pareigybių skaičių</w:t>
      </w:r>
      <w:r w:rsidR="007251B8">
        <w:t xml:space="preserve"> Rokiškio rajono savivaldybės biudžetinėse įstaigose </w:t>
      </w:r>
      <w:r w:rsidR="00BB222A">
        <w:t>(pridedama).</w:t>
      </w:r>
    </w:p>
    <w:p w14:paraId="686B255D" w14:textId="680DEE6D" w:rsidR="007251B8" w:rsidRDefault="00350214" w:rsidP="00350214">
      <w:pPr>
        <w:ind w:firstLine="709"/>
        <w:jc w:val="both"/>
      </w:pPr>
      <w:r>
        <w:t xml:space="preserve">2. </w:t>
      </w:r>
      <w:r w:rsidR="007251B8">
        <w:t>Pripažinti netekusiais</w:t>
      </w:r>
      <w:r w:rsidR="007251B8" w:rsidRPr="006F202C">
        <w:t xml:space="preserve"> galios Rokiškio rajono savivaldybės tarybos</w:t>
      </w:r>
      <w:r w:rsidR="007251B8">
        <w:t xml:space="preserve"> 2021</w:t>
      </w:r>
      <w:r w:rsidR="00BB222A">
        <w:t xml:space="preserve"> </w:t>
      </w:r>
      <w:r w:rsidR="007251B8">
        <w:t xml:space="preserve">m. spalio 29 d. </w:t>
      </w:r>
    </w:p>
    <w:p w14:paraId="31F18C35" w14:textId="77777777" w:rsidR="00350214" w:rsidRDefault="007251B8" w:rsidP="00350214">
      <w:pPr>
        <w:contextualSpacing/>
        <w:jc w:val="both"/>
      </w:pPr>
      <w:r>
        <w:t>sprendimą Nr. TS-200 „Dėl didžiausio leistino</w:t>
      </w:r>
      <w:r w:rsidRPr="002A2053">
        <w:t xml:space="preserve"> pareigybių skaičiaus Rokiškio rajono savivaldybės biudžetinėse įstaigose patvirtinimo“</w:t>
      </w:r>
      <w:r>
        <w:t xml:space="preserve"> ir </w:t>
      </w:r>
      <w:r w:rsidRPr="002A2053">
        <w:t>2021 m.</w:t>
      </w:r>
      <w:r>
        <w:t xml:space="preserve"> gruodžio 23 d. sprendimą </w:t>
      </w:r>
      <w:r w:rsidRPr="002A2053">
        <w:t>Nr. TS-2</w:t>
      </w:r>
      <w:r>
        <w:t>43</w:t>
      </w:r>
      <w:r w:rsidRPr="002A2053">
        <w:t xml:space="preserve"> „Dėl </w:t>
      </w:r>
      <w:r>
        <w:t>Rokiškio rajono savivaldybės tarybos 2021 m. spalio 29 d. sprendimo Nr. TS-200 „Dėl didžiausio leistino</w:t>
      </w:r>
      <w:r w:rsidRPr="002A2053">
        <w:t xml:space="preserve"> pareigybių skaičiaus Rokiškio rajono savivaldybės biudžetinėse įstaigose patvirtinimo“</w:t>
      </w:r>
      <w:r>
        <w:t xml:space="preserve"> dalinio pakeitimo</w:t>
      </w:r>
      <w:r w:rsidR="00F44ECF">
        <w:t>“.</w:t>
      </w:r>
    </w:p>
    <w:p w14:paraId="1A5FB605" w14:textId="77777777" w:rsidR="00350214" w:rsidRDefault="00350214" w:rsidP="00350214">
      <w:pPr>
        <w:tabs>
          <w:tab w:val="left" w:pos="709"/>
        </w:tabs>
        <w:contextualSpacing/>
        <w:jc w:val="both"/>
        <w:rPr>
          <w:bCs/>
        </w:rPr>
      </w:pPr>
      <w:r>
        <w:tab/>
        <w:t>3.</w:t>
      </w:r>
      <w:r w:rsidR="007251B8" w:rsidRPr="008E174D">
        <w:rPr>
          <w:bCs/>
        </w:rPr>
        <w:t>Skelbti sprendimą Teisės aktų registre.</w:t>
      </w:r>
    </w:p>
    <w:p w14:paraId="7C82F4EB" w14:textId="1AE36A21" w:rsidR="007251B8" w:rsidRPr="00350214" w:rsidRDefault="00350214" w:rsidP="00350214">
      <w:pPr>
        <w:tabs>
          <w:tab w:val="left" w:pos="709"/>
        </w:tabs>
        <w:contextualSpacing/>
        <w:jc w:val="both"/>
      </w:pPr>
      <w:r>
        <w:rPr>
          <w:bCs/>
        </w:rPr>
        <w:tab/>
      </w:r>
      <w:r w:rsidR="007251B8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6FAE1CB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1B4FD7E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ACC254D" w14:textId="77777777" w:rsidR="007251B8" w:rsidRPr="002A2053" w:rsidRDefault="007251B8" w:rsidP="002A2053">
      <w:pPr>
        <w:ind w:firstLine="709"/>
        <w:jc w:val="both"/>
      </w:pPr>
    </w:p>
    <w:p w14:paraId="611FBF3B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19F8343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F71C0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5FFA5B41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2A2053">
        <w:rPr>
          <w:szCs w:val="20"/>
        </w:rPr>
        <w:t xml:space="preserve">Savivaldybės meras    </w:t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  <w:t>Ramūnas Godeliauskas</w:t>
      </w:r>
    </w:p>
    <w:p w14:paraId="228BC75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6B690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A977F5" w14:textId="77777777" w:rsid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16B3FAB" w14:textId="77777777" w:rsidR="00350214" w:rsidRDefault="00350214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764822" w14:textId="77777777" w:rsidR="00350214" w:rsidRPr="002A2053" w:rsidRDefault="00350214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66BA4E1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2A2053">
        <w:rPr>
          <w:szCs w:val="20"/>
        </w:rPr>
        <w:t>Reda  Dūdienė</w:t>
      </w:r>
    </w:p>
    <w:p w14:paraId="4AA13264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E10410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A5B9200" w14:textId="77777777" w:rsidR="00E45CD4" w:rsidRDefault="00E45CD4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885C099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5A864BF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D8EF99E" w14:textId="77777777" w:rsidR="002A2053" w:rsidRDefault="002A205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59D5442A" w14:textId="77777777" w:rsidR="0018686D" w:rsidRDefault="0018686D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4A072B5" w14:textId="5803EFD6" w:rsidR="00607475" w:rsidRPr="00D357DC" w:rsidRDefault="006F456F" w:rsidP="006F456F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07475" w:rsidRPr="00D357DC">
        <w:rPr>
          <w:sz w:val="22"/>
          <w:szCs w:val="22"/>
        </w:rPr>
        <w:t>PATVIRTINTA</w:t>
      </w:r>
    </w:p>
    <w:p w14:paraId="2AE1041F" w14:textId="20B3463A" w:rsidR="00203E73" w:rsidRPr="00D357DC" w:rsidRDefault="00203E7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firstLine="4820"/>
        <w:rPr>
          <w:sz w:val="22"/>
          <w:szCs w:val="22"/>
        </w:rPr>
      </w:pPr>
      <w:r w:rsidRPr="00D357DC">
        <w:rPr>
          <w:sz w:val="22"/>
          <w:szCs w:val="22"/>
        </w:rPr>
        <w:t xml:space="preserve">Rokiškio rajono savivaldybės tarybos </w:t>
      </w:r>
    </w:p>
    <w:p w14:paraId="2AE10420" w14:textId="3CF82973" w:rsidR="00203E73" w:rsidRPr="00D357DC" w:rsidRDefault="00AF474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bookmarkStart w:id="0" w:name="_GoBack"/>
      <w:bookmarkEnd w:id="0"/>
      <w:r w:rsidRPr="00D357DC">
        <w:rPr>
          <w:sz w:val="22"/>
          <w:szCs w:val="22"/>
        </w:rPr>
        <w:t>202</w:t>
      </w:r>
      <w:r w:rsidR="005C27EF">
        <w:rPr>
          <w:sz w:val="22"/>
          <w:szCs w:val="22"/>
        </w:rPr>
        <w:t>2</w:t>
      </w:r>
      <w:r w:rsidRPr="00D357DC">
        <w:rPr>
          <w:sz w:val="22"/>
          <w:szCs w:val="22"/>
        </w:rPr>
        <w:t xml:space="preserve"> </w:t>
      </w:r>
      <w:r w:rsidR="00203E73" w:rsidRPr="00D357DC">
        <w:rPr>
          <w:sz w:val="22"/>
          <w:szCs w:val="22"/>
        </w:rPr>
        <w:t xml:space="preserve">m. </w:t>
      </w:r>
      <w:r w:rsidR="005C27EF">
        <w:rPr>
          <w:sz w:val="22"/>
          <w:szCs w:val="22"/>
        </w:rPr>
        <w:t>vasario</w:t>
      </w:r>
      <w:r w:rsidR="006F456F" w:rsidRPr="00D357DC">
        <w:rPr>
          <w:sz w:val="22"/>
          <w:szCs w:val="22"/>
        </w:rPr>
        <w:t xml:space="preserve"> 23</w:t>
      </w:r>
      <w:r w:rsidR="00203E73" w:rsidRPr="00D357DC">
        <w:rPr>
          <w:sz w:val="22"/>
          <w:szCs w:val="22"/>
        </w:rPr>
        <w:t xml:space="preserve"> d. sprendim</w:t>
      </w:r>
      <w:r w:rsidR="00607475" w:rsidRPr="00D357DC">
        <w:rPr>
          <w:sz w:val="22"/>
          <w:szCs w:val="22"/>
        </w:rPr>
        <w:t>u</w:t>
      </w:r>
      <w:r w:rsidR="00203E73" w:rsidRPr="00D357DC">
        <w:rPr>
          <w:sz w:val="22"/>
          <w:szCs w:val="22"/>
        </w:rPr>
        <w:t xml:space="preserve"> Nr. TS-</w:t>
      </w:r>
    </w:p>
    <w:p w14:paraId="2AE10421" w14:textId="30FAF646" w:rsidR="00203E73" w:rsidRPr="00D357DC" w:rsidRDefault="00203E73" w:rsidP="00AF4743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03E73" w:rsidRPr="00D357DC" w14:paraId="2AE10424" w14:textId="77777777" w:rsidTr="00203E73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10422" w14:textId="734B9257" w:rsidR="00203E73" w:rsidRPr="00350214" w:rsidRDefault="003419B1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350214">
              <w:rPr>
                <w:b/>
              </w:rPr>
              <w:t>DIDŽIAUSIAS LEISTINAS PAREIGYBIŲ SKAIČIUS ROKIŠKIO RAJONO SAVIVALDYBĖS BIUDŽETINĖSE ĮSTAIGOSE</w:t>
            </w:r>
          </w:p>
          <w:p w14:paraId="2AE10423" w14:textId="2C90B37B" w:rsidR="00203E73" w:rsidRPr="00D357DC" w:rsidRDefault="00203E73" w:rsidP="006444F1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1E19CE9D" w14:textId="37FF61B3" w:rsidR="007F4E60" w:rsidRDefault="007F4E60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1559"/>
        <w:gridCol w:w="1310"/>
        <w:gridCol w:w="1456"/>
      </w:tblGrid>
      <w:tr w:rsidR="007F4E60" w:rsidRPr="00D357DC" w14:paraId="7917193C" w14:textId="77777777" w:rsidTr="004024B2">
        <w:trPr>
          <w:trHeight w:val="487"/>
        </w:trPr>
        <w:tc>
          <w:tcPr>
            <w:tcW w:w="870" w:type="dxa"/>
            <w:vMerge w:val="restart"/>
            <w:hideMark/>
          </w:tcPr>
          <w:p w14:paraId="5F181D79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Eil.Nr.</w:t>
            </w:r>
          </w:p>
        </w:tc>
        <w:tc>
          <w:tcPr>
            <w:tcW w:w="4625" w:type="dxa"/>
            <w:vMerge w:val="restart"/>
            <w:hideMark/>
          </w:tcPr>
          <w:p w14:paraId="3B2F8CE4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2A3CC9D1" w14:textId="63866010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Didžiausias leistinas pareigybių        ( etatų) skaičius</w:t>
            </w:r>
          </w:p>
        </w:tc>
      </w:tr>
      <w:tr w:rsidR="007F4E60" w:rsidRPr="00D357DC" w14:paraId="1B73B994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0630097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BE8A918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27ABEFC3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0A19D101" w14:textId="77777777" w:rsidR="007F4E60" w:rsidRPr="00D357DC" w:rsidRDefault="007F4E60" w:rsidP="00421F8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to skaičiaus</w:t>
            </w:r>
          </w:p>
        </w:tc>
      </w:tr>
      <w:tr w:rsidR="007F4E60" w:rsidRPr="00D357DC" w14:paraId="740A5EE7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41A32EAB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C423009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0239A1EA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78053CE9" w14:textId="77777777" w:rsidR="007F4E60" w:rsidRPr="00D357DC" w:rsidRDefault="007F4E60" w:rsidP="00421F8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kiti  darbuotojai</w:t>
            </w:r>
          </w:p>
        </w:tc>
        <w:tc>
          <w:tcPr>
            <w:tcW w:w="1456" w:type="dxa"/>
            <w:hideMark/>
          </w:tcPr>
          <w:p w14:paraId="7BFEAB9B" w14:textId="77777777" w:rsidR="007F4E60" w:rsidRPr="00D357DC" w:rsidRDefault="007F4E60" w:rsidP="00421F8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mokytojai</w:t>
            </w:r>
          </w:p>
        </w:tc>
      </w:tr>
      <w:tr w:rsidR="007F4E60" w:rsidRPr="00D357DC" w14:paraId="180C0F17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CE7BF0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19833C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7082B84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0F7A6476" w14:textId="77777777" w:rsidR="007F4E60" w:rsidRPr="00D357DC" w:rsidRDefault="007F4E60" w:rsidP="00421F8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656CBFEF" w14:textId="51C2534E" w:rsidR="007F4E60" w:rsidRPr="00D357DC" w:rsidRDefault="007F4E60" w:rsidP="00421F8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(bendrojo ir</w:t>
            </w:r>
            <w:r w:rsidR="009A0324" w:rsidRPr="00D357DC">
              <w:rPr>
                <w:sz w:val="20"/>
                <w:szCs w:val="20"/>
              </w:rPr>
              <w:t xml:space="preserve"> neformaliojo  ugdymo</w:t>
            </w:r>
            <w:r w:rsidRPr="00D357DC">
              <w:rPr>
                <w:sz w:val="20"/>
                <w:szCs w:val="20"/>
              </w:rPr>
              <w:t>)</w:t>
            </w:r>
          </w:p>
        </w:tc>
      </w:tr>
      <w:tr w:rsidR="007F4E60" w:rsidRPr="00D357DC" w14:paraId="03F6C0C9" w14:textId="77777777" w:rsidTr="004024B2">
        <w:trPr>
          <w:trHeight w:val="275"/>
        </w:trPr>
        <w:tc>
          <w:tcPr>
            <w:tcW w:w="870" w:type="dxa"/>
            <w:hideMark/>
          </w:tcPr>
          <w:p w14:paraId="21ABA1FA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1</w:t>
            </w:r>
          </w:p>
        </w:tc>
        <w:tc>
          <w:tcPr>
            <w:tcW w:w="4625" w:type="dxa"/>
            <w:hideMark/>
          </w:tcPr>
          <w:p w14:paraId="5071A54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32DE43C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hideMark/>
          </w:tcPr>
          <w:p w14:paraId="13DAD880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hideMark/>
          </w:tcPr>
          <w:p w14:paraId="4DB06A9C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5</w:t>
            </w:r>
          </w:p>
        </w:tc>
      </w:tr>
      <w:tr w:rsidR="007F4E60" w:rsidRPr="00944861" w14:paraId="43C3A9D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C4E97E4" w14:textId="3035AB9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E25DA7F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,,Nykštukas“</w:t>
            </w:r>
          </w:p>
        </w:tc>
        <w:tc>
          <w:tcPr>
            <w:tcW w:w="1559" w:type="dxa"/>
            <w:noWrap/>
            <w:hideMark/>
          </w:tcPr>
          <w:p w14:paraId="6D3C1DB7" w14:textId="1BB3180F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,26</w:t>
            </w:r>
          </w:p>
        </w:tc>
        <w:tc>
          <w:tcPr>
            <w:tcW w:w="1310" w:type="dxa"/>
            <w:noWrap/>
            <w:hideMark/>
          </w:tcPr>
          <w:p w14:paraId="364CDEAE" w14:textId="42266C5B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,26</w:t>
            </w:r>
          </w:p>
        </w:tc>
        <w:tc>
          <w:tcPr>
            <w:tcW w:w="1456" w:type="dxa"/>
            <w:hideMark/>
          </w:tcPr>
          <w:p w14:paraId="3E0793F3" w14:textId="5717C556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72C59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45791C5" w14:textId="16055D0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E800549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,,Pumpurėlis“</w:t>
            </w:r>
          </w:p>
        </w:tc>
        <w:tc>
          <w:tcPr>
            <w:tcW w:w="1559" w:type="dxa"/>
            <w:noWrap/>
            <w:hideMark/>
          </w:tcPr>
          <w:p w14:paraId="4057AFBD" w14:textId="1F25226D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310" w:type="dxa"/>
            <w:noWrap/>
            <w:hideMark/>
          </w:tcPr>
          <w:p w14:paraId="7EFDC6FD" w14:textId="45FA4BC2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456" w:type="dxa"/>
            <w:hideMark/>
          </w:tcPr>
          <w:p w14:paraId="68C7D63D" w14:textId="2E393150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327780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F130D1F" w14:textId="66CEE22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EB1AE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lopšelis-darželis</w:t>
            </w:r>
          </w:p>
        </w:tc>
        <w:tc>
          <w:tcPr>
            <w:tcW w:w="1559" w:type="dxa"/>
            <w:noWrap/>
            <w:hideMark/>
          </w:tcPr>
          <w:p w14:paraId="3E73018E" w14:textId="353261AF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,23</w:t>
            </w:r>
          </w:p>
        </w:tc>
        <w:tc>
          <w:tcPr>
            <w:tcW w:w="1310" w:type="dxa"/>
            <w:noWrap/>
            <w:hideMark/>
          </w:tcPr>
          <w:p w14:paraId="5D0F79EE" w14:textId="632589C0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23</w:t>
            </w:r>
            <w:r w:rsidRPr="00944861">
              <w:rPr>
                <w:sz w:val="20"/>
                <w:szCs w:val="20"/>
              </w:rPr>
              <w:t>,23</w:t>
            </w:r>
          </w:p>
        </w:tc>
        <w:tc>
          <w:tcPr>
            <w:tcW w:w="1456" w:type="dxa"/>
            <w:hideMark/>
          </w:tcPr>
          <w:p w14:paraId="35C57508" w14:textId="322273BA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89463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C340F90" w14:textId="29C7FC9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445E68D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ikimokyklinio ugdymo skyrius</w:t>
            </w:r>
          </w:p>
        </w:tc>
        <w:tc>
          <w:tcPr>
            <w:tcW w:w="1559" w:type="dxa"/>
            <w:noWrap/>
            <w:hideMark/>
          </w:tcPr>
          <w:p w14:paraId="08AA5D88" w14:textId="68DA549C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  <w:tc>
          <w:tcPr>
            <w:tcW w:w="1310" w:type="dxa"/>
            <w:noWrap/>
            <w:hideMark/>
          </w:tcPr>
          <w:p w14:paraId="0AD2E7A0" w14:textId="6EBE6C67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  <w:tc>
          <w:tcPr>
            <w:tcW w:w="1456" w:type="dxa"/>
            <w:hideMark/>
          </w:tcPr>
          <w:p w14:paraId="580CA7F6" w14:textId="1A519059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192BB03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FAADB5F" w14:textId="78320CB0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5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AEC054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Mokykla-darželis ,,Ąžuoliukas“</w:t>
            </w:r>
          </w:p>
        </w:tc>
        <w:tc>
          <w:tcPr>
            <w:tcW w:w="1559" w:type="dxa"/>
            <w:noWrap/>
            <w:hideMark/>
          </w:tcPr>
          <w:p w14:paraId="331510E3" w14:textId="33125ABE" w:rsidR="007F4E60" w:rsidRPr="00044505" w:rsidRDefault="00BA05F2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44505">
              <w:rPr>
                <w:sz w:val="20"/>
                <w:szCs w:val="20"/>
                <w:highlight w:val="yellow"/>
              </w:rPr>
              <w:t>40,24</w:t>
            </w:r>
          </w:p>
        </w:tc>
        <w:tc>
          <w:tcPr>
            <w:tcW w:w="1310" w:type="dxa"/>
            <w:noWrap/>
            <w:hideMark/>
          </w:tcPr>
          <w:p w14:paraId="4A359B0C" w14:textId="2801B6C1" w:rsidR="007F4E60" w:rsidRPr="00044505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44505">
              <w:rPr>
                <w:sz w:val="20"/>
                <w:szCs w:val="20"/>
                <w:highlight w:val="yellow"/>
              </w:rPr>
              <w:t>3</w:t>
            </w:r>
            <w:r w:rsidR="00BA05F2" w:rsidRPr="00044505">
              <w:rPr>
                <w:sz w:val="20"/>
                <w:szCs w:val="20"/>
                <w:highlight w:val="yellow"/>
              </w:rPr>
              <w:t>5,29</w:t>
            </w:r>
          </w:p>
        </w:tc>
        <w:tc>
          <w:tcPr>
            <w:tcW w:w="1456" w:type="dxa"/>
            <w:hideMark/>
          </w:tcPr>
          <w:p w14:paraId="0589F940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4,95</w:t>
            </w:r>
          </w:p>
        </w:tc>
      </w:tr>
      <w:tr w:rsidR="007F4E60" w:rsidRPr="00944861" w14:paraId="7ABA816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3C140F03" w14:textId="331DA1F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6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890C88B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Obelių gimnazijos ikimokyklinio ugdymo skyrius</w:t>
            </w:r>
          </w:p>
        </w:tc>
        <w:tc>
          <w:tcPr>
            <w:tcW w:w="1559" w:type="dxa"/>
            <w:noWrap/>
            <w:hideMark/>
          </w:tcPr>
          <w:p w14:paraId="156A7043" w14:textId="0623661E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17,49</w:t>
            </w:r>
          </w:p>
        </w:tc>
        <w:tc>
          <w:tcPr>
            <w:tcW w:w="1310" w:type="dxa"/>
            <w:noWrap/>
            <w:hideMark/>
          </w:tcPr>
          <w:p w14:paraId="2F61862B" w14:textId="262DFF63" w:rsidR="00E82B68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17,49</w:t>
            </w:r>
          </w:p>
        </w:tc>
        <w:tc>
          <w:tcPr>
            <w:tcW w:w="1456" w:type="dxa"/>
            <w:hideMark/>
          </w:tcPr>
          <w:p w14:paraId="4B64F291" w14:textId="4DAB2DCA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6032C08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0047A94" w14:textId="7D37967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7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6DF7854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Mokyklos-darželio „Ąžuoliukas“ Kavoliškio skyrius</w:t>
            </w:r>
          </w:p>
        </w:tc>
        <w:tc>
          <w:tcPr>
            <w:tcW w:w="1559" w:type="dxa"/>
            <w:noWrap/>
            <w:hideMark/>
          </w:tcPr>
          <w:p w14:paraId="6617EBF4" w14:textId="0A8B9447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  <w:tc>
          <w:tcPr>
            <w:tcW w:w="1310" w:type="dxa"/>
            <w:noWrap/>
            <w:hideMark/>
          </w:tcPr>
          <w:p w14:paraId="3EC3EDBF" w14:textId="3B087A65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16,73</w:t>
            </w:r>
          </w:p>
        </w:tc>
        <w:tc>
          <w:tcPr>
            <w:tcW w:w="1456" w:type="dxa"/>
            <w:hideMark/>
          </w:tcPr>
          <w:p w14:paraId="7D8486C2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3,22</w:t>
            </w:r>
          </w:p>
        </w:tc>
      </w:tr>
      <w:tr w:rsidR="007F4E60" w:rsidRPr="00944861" w14:paraId="61F7FBD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610E538" w14:textId="28F73D0B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8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1365795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,,Varpelis“</w:t>
            </w:r>
          </w:p>
        </w:tc>
        <w:tc>
          <w:tcPr>
            <w:tcW w:w="1559" w:type="dxa"/>
            <w:noWrap/>
            <w:hideMark/>
          </w:tcPr>
          <w:p w14:paraId="3CCAB87C" w14:textId="27C42576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310" w:type="dxa"/>
            <w:noWrap/>
            <w:hideMark/>
          </w:tcPr>
          <w:p w14:paraId="48144038" w14:textId="4F4C50A1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56" w:type="dxa"/>
            <w:hideMark/>
          </w:tcPr>
          <w:p w14:paraId="4BF06FA5" w14:textId="3DBE0575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04F467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18513FE" w14:textId="2FED855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95CA32E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Senamiesčio progimnazija</w:t>
            </w:r>
          </w:p>
        </w:tc>
        <w:tc>
          <w:tcPr>
            <w:tcW w:w="1559" w:type="dxa"/>
            <w:noWrap/>
            <w:hideMark/>
          </w:tcPr>
          <w:p w14:paraId="21ED067D" w14:textId="2ADDE627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55,83</w:t>
            </w:r>
          </w:p>
        </w:tc>
        <w:tc>
          <w:tcPr>
            <w:tcW w:w="1310" w:type="dxa"/>
            <w:noWrap/>
            <w:hideMark/>
          </w:tcPr>
          <w:p w14:paraId="1D1EA222" w14:textId="3DE43298" w:rsidR="007F4E60" w:rsidRPr="00E82B68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29,31</w:t>
            </w:r>
          </w:p>
        </w:tc>
        <w:tc>
          <w:tcPr>
            <w:tcW w:w="1456" w:type="dxa"/>
            <w:hideMark/>
          </w:tcPr>
          <w:p w14:paraId="3B3EB916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26,52</w:t>
            </w:r>
          </w:p>
        </w:tc>
      </w:tr>
      <w:tr w:rsidR="007F4E60" w:rsidRPr="00944861" w14:paraId="513E7BC5" w14:textId="77777777" w:rsidTr="004024B2">
        <w:trPr>
          <w:trHeight w:val="540"/>
        </w:trPr>
        <w:tc>
          <w:tcPr>
            <w:tcW w:w="870" w:type="dxa"/>
            <w:noWrap/>
            <w:hideMark/>
          </w:tcPr>
          <w:p w14:paraId="2C4E923B" w14:textId="462068B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10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5D4C9D00" w14:textId="78AFC884" w:rsidR="007F4E60" w:rsidRPr="00944861" w:rsidRDefault="007F4E60" w:rsidP="00F32D67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Senamiesčio progimnazijos Laibgalių ikimokyklinio ir pr</w:t>
            </w:r>
            <w:r w:rsidR="00F32D67">
              <w:rPr>
                <w:sz w:val="20"/>
                <w:szCs w:val="20"/>
              </w:rPr>
              <w:t>iešmokyklinio</w:t>
            </w:r>
            <w:r w:rsidRPr="00944861">
              <w:rPr>
                <w:sz w:val="20"/>
                <w:szCs w:val="20"/>
              </w:rPr>
              <w:t xml:space="preserve"> ugdymo skyrius </w:t>
            </w:r>
          </w:p>
        </w:tc>
        <w:tc>
          <w:tcPr>
            <w:tcW w:w="1559" w:type="dxa"/>
            <w:noWrap/>
            <w:hideMark/>
          </w:tcPr>
          <w:p w14:paraId="5F2FF259" w14:textId="18EA7860" w:rsidR="007F4E60" w:rsidRPr="00044505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44505">
              <w:rPr>
                <w:sz w:val="20"/>
                <w:szCs w:val="20"/>
                <w:highlight w:val="yellow"/>
              </w:rPr>
              <w:t>7,</w:t>
            </w:r>
            <w:r w:rsidR="00BA05F2" w:rsidRPr="00044505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310" w:type="dxa"/>
            <w:noWrap/>
            <w:hideMark/>
          </w:tcPr>
          <w:p w14:paraId="4D712902" w14:textId="28F3AF41" w:rsidR="007F4E60" w:rsidRPr="00044505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44505">
              <w:rPr>
                <w:sz w:val="20"/>
                <w:szCs w:val="20"/>
                <w:highlight w:val="yellow"/>
              </w:rPr>
              <w:t>7,</w:t>
            </w:r>
            <w:r w:rsidR="00BA05F2" w:rsidRPr="00044505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456" w:type="dxa"/>
            <w:hideMark/>
          </w:tcPr>
          <w:p w14:paraId="093F020E" w14:textId="1FD0B210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67163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1F269B" w14:textId="645E0AB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718F3AE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Panemunėlio mokykla-daugiafunkcis centras</w:t>
            </w:r>
          </w:p>
        </w:tc>
        <w:tc>
          <w:tcPr>
            <w:tcW w:w="1559" w:type="dxa"/>
            <w:noWrap/>
            <w:hideMark/>
          </w:tcPr>
          <w:p w14:paraId="13493F38" w14:textId="48B94786" w:rsidR="007F4E60" w:rsidRPr="008C2B65" w:rsidRDefault="008C2B6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1310" w:type="dxa"/>
            <w:noWrap/>
            <w:hideMark/>
          </w:tcPr>
          <w:p w14:paraId="7C0AF51F" w14:textId="244BDA5E" w:rsidR="007F4E60" w:rsidRPr="008C2B65" w:rsidRDefault="008C2B6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</w:t>
            </w:r>
          </w:p>
        </w:tc>
        <w:tc>
          <w:tcPr>
            <w:tcW w:w="1456" w:type="dxa"/>
            <w:hideMark/>
          </w:tcPr>
          <w:p w14:paraId="4B6AA5CA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1,62</w:t>
            </w:r>
          </w:p>
        </w:tc>
      </w:tr>
      <w:tr w:rsidR="007F4E60" w:rsidRPr="00944861" w14:paraId="13774A6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ECC2208" w14:textId="06CE37A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84275E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gimnazija</w:t>
            </w:r>
          </w:p>
        </w:tc>
        <w:tc>
          <w:tcPr>
            <w:tcW w:w="1559" w:type="dxa"/>
            <w:noWrap/>
            <w:hideMark/>
          </w:tcPr>
          <w:p w14:paraId="18B12503" w14:textId="36296B29" w:rsidR="007F4E60" w:rsidRPr="00044EE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54,63</w:t>
            </w:r>
          </w:p>
        </w:tc>
        <w:tc>
          <w:tcPr>
            <w:tcW w:w="1310" w:type="dxa"/>
            <w:noWrap/>
            <w:hideMark/>
          </w:tcPr>
          <w:p w14:paraId="5EE5A99F" w14:textId="0D0517BA" w:rsidR="007F4E60" w:rsidRPr="006F456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  <w:tc>
          <w:tcPr>
            <w:tcW w:w="1456" w:type="dxa"/>
            <w:hideMark/>
          </w:tcPr>
          <w:p w14:paraId="2BA9282F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21,38</w:t>
            </w:r>
          </w:p>
        </w:tc>
      </w:tr>
      <w:tr w:rsidR="007F4E60" w:rsidRPr="00944861" w14:paraId="042EC3E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26CFA4C" w14:textId="303A7A8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9CB230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Jūžintų skyrius</w:t>
            </w:r>
          </w:p>
        </w:tc>
        <w:tc>
          <w:tcPr>
            <w:tcW w:w="1559" w:type="dxa"/>
            <w:noWrap/>
            <w:hideMark/>
          </w:tcPr>
          <w:p w14:paraId="510ABEB2" w14:textId="6E00D6FD" w:rsidR="007F4E60" w:rsidRPr="006F456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29,27</w:t>
            </w:r>
          </w:p>
        </w:tc>
        <w:tc>
          <w:tcPr>
            <w:tcW w:w="1310" w:type="dxa"/>
            <w:noWrap/>
            <w:hideMark/>
          </w:tcPr>
          <w:p w14:paraId="24428AA2" w14:textId="176BEA4D" w:rsidR="007F4E60" w:rsidRPr="006F456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56" w:type="dxa"/>
            <w:hideMark/>
          </w:tcPr>
          <w:p w14:paraId="27CD25C5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11,77</w:t>
            </w:r>
          </w:p>
        </w:tc>
      </w:tr>
      <w:tr w:rsidR="007F4E60" w:rsidRPr="00944861" w14:paraId="7938889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11DED0E" w14:textId="4E7A897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41BE2CA" w14:textId="32ED070B" w:rsidR="007F4E60" w:rsidRPr="00944861" w:rsidRDefault="007F4E60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Juozo </w:t>
            </w:r>
            <w:r w:rsidR="006444F1" w:rsidRPr="00944861">
              <w:rPr>
                <w:sz w:val="20"/>
                <w:szCs w:val="20"/>
              </w:rPr>
              <w:t xml:space="preserve">Tumo-Vaižganto </w:t>
            </w:r>
            <w:r w:rsidRPr="00944861">
              <w:rPr>
                <w:sz w:val="20"/>
                <w:szCs w:val="20"/>
              </w:rPr>
              <w:t xml:space="preserve">gimnazijos </w:t>
            </w:r>
            <w:r w:rsidR="006444F1" w:rsidRPr="00944861">
              <w:rPr>
                <w:sz w:val="20"/>
                <w:szCs w:val="20"/>
              </w:rPr>
              <w:t>s</w:t>
            </w:r>
            <w:r w:rsidRPr="00944861">
              <w:rPr>
                <w:sz w:val="20"/>
                <w:szCs w:val="20"/>
              </w:rPr>
              <w:t>uaugusiųjų ir jaunimo skyrius</w:t>
            </w:r>
          </w:p>
        </w:tc>
        <w:tc>
          <w:tcPr>
            <w:tcW w:w="1559" w:type="dxa"/>
            <w:noWrap/>
            <w:hideMark/>
          </w:tcPr>
          <w:p w14:paraId="7CD83BC4" w14:textId="3144929C" w:rsidR="007F4E60" w:rsidRPr="006F456F" w:rsidRDefault="00477A8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12,58</w:t>
            </w:r>
          </w:p>
        </w:tc>
        <w:tc>
          <w:tcPr>
            <w:tcW w:w="1310" w:type="dxa"/>
            <w:noWrap/>
            <w:hideMark/>
          </w:tcPr>
          <w:p w14:paraId="0E79CCFC" w14:textId="22085A80" w:rsidR="007F4E60" w:rsidRPr="00477A88" w:rsidRDefault="00477A8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hideMark/>
          </w:tcPr>
          <w:p w14:paraId="71B99FE8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9,58</w:t>
            </w:r>
          </w:p>
        </w:tc>
      </w:tr>
      <w:tr w:rsidR="00FF4264" w:rsidRPr="00944861" w14:paraId="6265A4DA" w14:textId="77777777" w:rsidTr="004024B2">
        <w:trPr>
          <w:trHeight w:val="315"/>
        </w:trPr>
        <w:tc>
          <w:tcPr>
            <w:tcW w:w="870" w:type="dxa"/>
            <w:noWrap/>
          </w:tcPr>
          <w:p w14:paraId="04C2B1A0" w14:textId="43615A03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25" w:type="dxa"/>
            <w:noWrap/>
          </w:tcPr>
          <w:p w14:paraId="3C250C96" w14:textId="562E6160" w:rsidR="00FF4264" w:rsidRPr="00944861" w:rsidRDefault="00FF4264" w:rsidP="00FF426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Juozo Tumo-Vaižganto gimnazijos </w:t>
            </w:r>
            <w:r>
              <w:rPr>
                <w:sz w:val="20"/>
                <w:szCs w:val="20"/>
              </w:rPr>
              <w:t>VŠĮ Rokiškio psichiatrijos ligoninės mokymo</w:t>
            </w:r>
            <w:r w:rsidRPr="00944861">
              <w:rPr>
                <w:sz w:val="20"/>
                <w:szCs w:val="20"/>
              </w:rPr>
              <w:t xml:space="preserve"> skyrius</w:t>
            </w:r>
          </w:p>
        </w:tc>
        <w:tc>
          <w:tcPr>
            <w:tcW w:w="1559" w:type="dxa"/>
            <w:noWrap/>
          </w:tcPr>
          <w:p w14:paraId="74609893" w14:textId="2EB93753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310" w:type="dxa"/>
            <w:noWrap/>
          </w:tcPr>
          <w:p w14:paraId="38CA478C" w14:textId="77777777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327A159" w14:textId="493AEDC7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FF4264" w:rsidRPr="00944861" w14:paraId="717DA2D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DD8FEF" w14:textId="53F2905C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6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6E76D69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Juozo Tumo-Vaižganto gimnazija</w:t>
            </w:r>
          </w:p>
        </w:tc>
        <w:tc>
          <w:tcPr>
            <w:tcW w:w="1559" w:type="dxa"/>
            <w:noWrap/>
            <w:hideMark/>
          </w:tcPr>
          <w:p w14:paraId="675D27B7" w14:textId="653BEC7C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110,35</w:t>
            </w:r>
          </w:p>
        </w:tc>
        <w:tc>
          <w:tcPr>
            <w:tcW w:w="1310" w:type="dxa"/>
            <w:noWrap/>
            <w:hideMark/>
          </w:tcPr>
          <w:p w14:paraId="7BC977C3" w14:textId="3584A1C3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64,25</w:t>
            </w:r>
          </w:p>
        </w:tc>
        <w:tc>
          <w:tcPr>
            <w:tcW w:w="1456" w:type="dxa"/>
            <w:hideMark/>
          </w:tcPr>
          <w:p w14:paraId="7B045D56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46,1</w:t>
            </w:r>
          </w:p>
        </w:tc>
      </w:tr>
      <w:tr w:rsidR="00FF4264" w:rsidRPr="00944861" w14:paraId="02AC1FE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BDD73B6" w14:textId="5499AFF1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7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9AD0A5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Obelių gimnazija</w:t>
            </w:r>
          </w:p>
        </w:tc>
        <w:tc>
          <w:tcPr>
            <w:tcW w:w="1559" w:type="dxa"/>
            <w:noWrap/>
            <w:hideMark/>
          </w:tcPr>
          <w:p w14:paraId="7E71D9B5" w14:textId="128C3E07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46,35</w:t>
            </w:r>
          </w:p>
        </w:tc>
        <w:tc>
          <w:tcPr>
            <w:tcW w:w="1310" w:type="dxa"/>
            <w:noWrap/>
            <w:hideMark/>
          </w:tcPr>
          <w:p w14:paraId="70B9E093" w14:textId="3C3E97B2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56" w:type="dxa"/>
            <w:hideMark/>
          </w:tcPr>
          <w:p w14:paraId="25E94FEE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21,15</w:t>
            </w:r>
          </w:p>
        </w:tc>
      </w:tr>
      <w:tr w:rsidR="00FF4264" w:rsidRPr="00944861" w14:paraId="541466B7" w14:textId="77777777" w:rsidTr="004024B2">
        <w:trPr>
          <w:trHeight w:val="585"/>
        </w:trPr>
        <w:tc>
          <w:tcPr>
            <w:tcW w:w="870" w:type="dxa"/>
            <w:noWrap/>
            <w:hideMark/>
          </w:tcPr>
          <w:p w14:paraId="20517EFF" w14:textId="389FFFA2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8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181C37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Juozo Tūbelio progimnazija (1 pareigybė projekto įgyvendinimo laikotarpiui)</w:t>
            </w:r>
          </w:p>
        </w:tc>
        <w:tc>
          <w:tcPr>
            <w:tcW w:w="1559" w:type="dxa"/>
            <w:noWrap/>
            <w:hideMark/>
          </w:tcPr>
          <w:p w14:paraId="1A33CFD9" w14:textId="293441F9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92,62</w:t>
            </w:r>
          </w:p>
        </w:tc>
        <w:tc>
          <w:tcPr>
            <w:tcW w:w="1310" w:type="dxa"/>
            <w:noWrap/>
            <w:hideMark/>
          </w:tcPr>
          <w:p w14:paraId="50B96CCE" w14:textId="484E6A0B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hideMark/>
          </w:tcPr>
          <w:p w14:paraId="749004C8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42,62</w:t>
            </w:r>
          </w:p>
        </w:tc>
      </w:tr>
      <w:tr w:rsidR="00FF4264" w:rsidRPr="00944861" w14:paraId="34511F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DB55046" w14:textId="4F323B63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9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FD5667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Pandėlio gimnazija</w:t>
            </w:r>
          </w:p>
        </w:tc>
        <w:tc>
          <w:tcPr>
            <w:tcW w:w="1559" w:type="dxa"/>
            <w:noWrap/>
            <w:hideMark/>
          </w:tcPr>
          <w:p w14:paraId="58C7F529" w14:textId="01F1C702" w:rsidR="00FF4264" w:rsidRPr="00BA05F2" w:rsidRDefault="00E7170A" w:rsidP="00E7170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5F2">
              <w:rPr>
                <w:sz w:val="20"/>
                <w:szCs w:val="20"/>
              </w:rPr>
              <w:t>60,34</w:t>
            </w:r>
          </w:p>
        </w:tc>
        <w:tc>
          <w:tcPr>
            <w:tcW w:w="1310" w:type="dxa"/>
            <w:noWrap/>
            <w:hideMark/>
          </w:tcPr>
          <w:p w14:paraId="0A150642" w14:textId="2DE57342" w:rsidR="00FF4264" w:rsidRPr="00BA05F2" w:rsidRDefault="004C68C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5F2">
              <w:rPr>
                <w:sz w:val="20"/>
                <w:szCs w:val="20"/>
              </w:rPr>
              <w:t>38,5</w:t>
            </w:r>
            <w:r w:rsidR="00E7170A" w:rsidRPr="00BA05F2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hideMark/>
          </w:tcPr>
          <w:p w14:paraId="639DB5B7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21,81</w:t>
            </w:r>
          </w:p>
        </w:tc>
      </w:tr>
      <w:tr w:rsidR="00FF4264" w:rsidRPr="00944861" w14:paraId="70F4521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7445BEA" w14:textId="5E0A598F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4264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486EC4A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gimnazija</w:t>
            </w:r>
          </w:p>
        </w:tc>
        <w:tc>
          <w:tcPr>
            <w:tcW w:w="1559" w:type="dxa"/>
            <w:noWrap/>
            <w:hideMark/>
          </w:tcPr>
          <w:p w14:paraId="472382E9" w14:textId="5B71E1B4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55,38</w:t>
            </w:r>
          </w:p>
        </w:tc>
        <w:tc>
          <w:tcPr>
            <w:tcW w:w="1310" w:type="dxa"/>
            <w:noWrap/>
            <w:hideMark/>
          </w:tcPr>
          <w:p w14:paraId="38620F0B" w14:textId="58F57FB2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32,25</w:t>
            </w:r>
          </w:p>
        </w:tc>
        <w:tc>
          <w:tcPr>
            <w:tcW w:w="1456" w:type="dxa"/>
            <w:hideMark/>
          </w:tcPr>
          <w:p w14:paraId="24E7F024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23,13</w:t>
            </w:r>
          </w:p>
        </w:tc>
      </w:tr>
      <w:tr w:rsidR="00FF4264" w:rsidRPr="00944861" w14:paraId="1E5688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7FD50D5" w14:textId="6F429470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1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C12E28D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Rudolfo Lymano muzikos mokykla</w:t>
            </w:r>
          </w:p>
        </w:tc>
        <w:tc>
          <w:tcPr>
            <w:tcW w:w="1559" w:type="dxa"/>
            <w:noWrap/>
            <w:hideMark/>
          </w:tcPr>
          <w:p w14:paraId="7B8A3FFE" w14:textId="3AEC96C0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30,07</w:t>
            </w:r>
          </w:p>
        </w:tc>
        <w:tc>
          <w:tcPr>
            <w:tcW w:w="1310" w:type="dxa"/>
            <w:noWrap/>
            <w:hideMark/>
          </w:tcPr>
          <w:p w14:paraId="01C5EE62" w14:textId="5D30A23C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456" w:type="dxa"/>
            <w:hideMark/>
          </w:tcPr>
          <w:p w14:paraId="2156E9DD" w14:textId="2DCCCF16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</w:t>
            </w:r>
          </w:p>
        </w:tc>
      </w:tr>
      <w:tr w:rsidR="00FF4264" w:rsidRPr="00944861" w14:paraId="24B3036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8D18016" w14:textId="4E5D829B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2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82BBEB6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Rudolfo Lymano muzikos mokyklos Choreografijos skyrius</w:t>
            </w:r>
          </w:p>
        </w:tc>
        <w:tc>
          <w:tcPr>
            <w:tcW w:w="1559" w:type="dxa"/>
            <w:noWrap/>
            <w:hideMark/>
          </w:tcPr>
          <w:p w14:paraId="61400330" w14:textId="21600DDB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noWrap/>
            <w:hideMark/>
          </w:tcPr>
          <w:p w14:paraId="6FC735AE" w14:textId="25313910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4,92</w:t>
            </w:r>
          </w:p>
        </w:tc>
        <w:tc>
          <w:tcPr>
            <w:tcW w:w="1456" w:type="dxa"/>
            <w:hideMark/>
          </w:tcPr>
          <w:p w14:paraId="48634DF8" w14:textId="6C66EBE2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</w:t>
            </w:r>
          </w:p>
        </w:tc>
      </w:tr>
      <w:tr w:rsidR="00FF4264" w:rsidRPr="00944861" w14:paraId="2264754E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2956361" w14:textId="641FD038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3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8122A20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Pandėlio universalus daugiafunkcis centras</w:t>
            </w:r>
          </w:p>
        </w:tc>
        <w:tc>
          <w:tcPr>
            <w:tcW w:w="1559" w:type="dxa"/>
            <w:noWrap/>
            <w:hideMark/>
          </w:tcPr>
          <w:p w14:paraId="2BE6D5B6" w14:textId="7D0056AF" w:rsidR="00FF4264" w:rsidRPr="00381ED7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26,85</w:t>
            </w:r>
          </w:p>
        </w:tc>
        <w:tc>
          <w:tcPr>
            <w:tcW w:w="1310" w:type="dxa"/>
            <w:noWrap/>
            <w:hideMark/>
          </w:tcPr>
          <w:p w14:paraId="51A1678E" w14:textId="43742B79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23,85</w:t>
            </w:r>
          </w:p>
        </w:tc>
        <w:tc>
          <w:tcPr>
            <w:tcW w:w="1456" w:type="dxa"/>
            <w:hideMark/>
          </w:tcPr>
          <w:p w14:paraId="380E9485" w14:textId="5AB489DC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4264" w:rsidRPr="00944861" w14:paraId="773C783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2F4F3A7" w14:textId="66B142E5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4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A33F7A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gimnazijos neformaliojo švietimo skyrius</w:t>
            </w:r>
          </w:p>
        </w:tc>
        <w:tc>
          <w:tcPr>
            <w:tcW w:w="1559" w:type="dxa"/>
            <w:noWrap/>
            <w:hideMark/>
          </w:tcPr>
          <w:p w14:paraId="06AFAA8B" w14:textId="110A6665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10" w:type="dxa"/>
            <w:noWrap/>
            <w:hideMark/>
          </w:tcPr>
          <w:p w14:paraId="1C2E52CE" w14:textId="5B19B302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382B7BE3" w14:textId="03F537C3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FF4264" w:rsidRPr="00944861" w14:paraId="01EF00B4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DDFF59" w14:textId="39DDE58B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5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099D9EB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gimnazijos neformaliojo švietimo skyrius</w:t>
            </w:r>
          </w:p>
        </w:tc>
        <w:tc>
          <w:tcPr>
            <w:tcW w:w="1559" w:type="dxa"/>
            <w:noWrap/>
            <w:hideMark/>
          </w:tcPr>
          <w:p w14:paraId="7949C504" w14:textId="5706FD0B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310" w:type="dxa"/>
            <w:noWrap/>
            <w:hideMark/>
          </w:tcPr>
          <w:p w14:paraId="1E181095" w14:textId="7168D3C2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1C40EDC9" w14:textId="5D90A1DA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</w:tr>
      <w:tr w:rsidR="00FF4264" w:rsidRPr="004024B2" w14:paraId="688B7C1C" w14:textId="77777777" w:rsidTr="004024B2">
        <w:trPr>
          <w:trHeight w:val="585"/>
        </w:trPr>
        <w:tc>
          <w:tcPr>
            <w:tcW w:w="870" w:type="dxa"/>
            <w:vMerge w:val="restart"/>
            <w:hideMark/>
          </w:tcPr>
          <w:p w14:paraId="2E1D8A61" w14:textId="41E27628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Eil. Nr.</w:t>
            </w:r>
          </w:p>
        </w:tc>
        <w:tc>
          <w:tcPr>
            <w:tcW w:w="4625" w:type="dxa"/>
            <w:vMerge w:val="restart"/>
            <w:hideMark/>
          </w:tcPr>
          <w:p w14:paraId="3E5288D3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7F57DB78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Didžiausias leistinas pareigybių        ( etatų) skaičius</w:t>
            </w:r>
          </w:p>
        </w:tc>
      </w:tr>
      <w:tr w:rsidR="00FF4264" w:rsidRPr="004024B2" w14:paraId="5B76E192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4A251F34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0D2AF05A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435353BC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6EC01F1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Iš to skaičiaus</w:t>
            </w:r>
          </w:p>
        </w:tc>
      </w:tr>
      <w:tr w:rsidR="00FF4264" w:rsidRPr="004024B2" w14:paraId="64B300B5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7AB87AD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124EBF3D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20B554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37D4A2D9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kiti  darbuotojai</w:t>
            </w:r>
          </w:p>
        </w:tc>
        <w:tc>
          <w:tcPr>
            <w:tcW w:w="1456" w:type="dxa"/>
            <w:hideMark/>
          </w:tcPr>
          <w:p w14:paraId="73782F14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mokytojai</w:t>
            </w:r>
          </w:p>
        </w:tc>
      </w:tr>
      <w:tr w:rsidR="00FF4264" w:rsidRPr="004024B2" w14:paraId="573FF72B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22F1611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36E5CC0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5BE8EBAB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11A5E8A0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24D9EC03" w14:textId="50401250" w:rsidR="00FF4264" w:rsidRPr="004024B2" w:rsidRDefault="00FF4264" w:rsidP="009A032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(bendrojo ir neformaliojo  ugdymo) </w:t>
            </w:r>
          </w:p>
        </w:tc>
      </w:tr>
      <w:tr w:rsidR="00FF4264" w:rsidRPr="004024B2" w14:paraId="0CEED19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8FAB436" w14:textId="108B0DE7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E045A6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Obelių gimnazijos neformaliojo  švietimo skyrius</w:t>
            </w:r>
          </w:p>
        </w:tc>
        <w:tc>
          <w:tcPr>
            <w:tcW w:w="1559" w:type="dxa"/>
            <w:noWrap/>
            <w:hideMark/>
          </w:tcPr>
          <w:p w14:paraId="3ADCCD78" w14:textId="109E0316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10" w:type="dxa"/>
            <w:noWrap/>
            <w:hideMark/>
          </w:tcPr>
          <w:p w14:paraId="43C3381B" w14:textId="18E92322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334C3089" w14:textId="42F59569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4264" w:rsidRPr="004024B2" w14:paraId="2F80407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0EC1F58" w14:textId="5B8885CF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3D7B4C5C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Švietimo centras (1 pareigybė projektų įgyvendinimo laikotarpiui)</w:t>
            </w:r>
          </w:p>
        </w:tc>
        <w:tc>
          <w:tcPr>
            <w:tcW w:w="1559" w:type="dxa"/>
            <w:noWrap/>
            <w:hideMark/>
          </w:tcPr>
          <w:p w14:paraId="3E2D33A6" w14:textId="6271B09D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7,5</w:t>
            </w:r>
          </w:p>
        </w:tc>
        <w:tc>
          <w:tcPr>
            <w:tcW w:w="1310" w:type="dxa"/>
            <w:noWrap/>
            <w:hideMark/>
          </w:tcPr>
          <w:p w14:paraId="6723330E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7,5</w:t>
            </w:r>
          </w:p>
        </w:tc>
        <w:tc>
          <w:tcPr>
            <w:tcW w:w="1456" w:type="dxa"/>
            <w:hideMark/>
          </w:tcPr>
          <w:p w14:paraId="4C6A926D" w14:textId="3E915E36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FF4264" w:rsidRPr="004024B2" w14:paraId="46D232B4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6368333" w14:textId="61D87186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543788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Pedagoginė psichologinė tarnyba </w:t>
            </w:r>
          </w:p>
        </w:tc>
        <w:tc>
          <w:tcPr>
            <w:tcW w:w="1559" w:type="dxa"/>
            <w:noWrap/>
            <w:hideMark/>
          </w:tcPr>
          <w:p w14:paraId="3DE34DD9" w14:textId="69D81C06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0" w:type="dxa"/>
            <w:noWrap/>
            <w:hideMark/>
          </w:tcPr>
          <w:p w14:paraId="542E57D2" w14:textId="722FE049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hideMark/>
          </w:tcPr>
          <w:p w14:paraId="10EBF2E7" w14:textId="22B80D4A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FF4264" w:rsidRPr="004024B2" w14:paraId="78AED33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EFF25E" w14:textId="4BDC3488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831C4DB" w14:textId="7C0982D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Jaunimo centras (1,5</w:t>
            </w:r>
            <w:r w:rsidRPr="004024B2">
              <w:rPr>
                <w:sz w:val="20"/>
                <w:szCs w:val="20"/>
              </w:rPr>
              <w:t xml:space="preserve"> pareigybės projekto įgyvendinimo laikotarpiui)</w:t>
            </w:r>
          </w:p>
        </w:tc>
        <w:tc>
          <w:tcPr>
            <w:tcW w:w="1559" w:type="dxa"/>
            <w:noWrap/>
            <w:hideMark/>
          </w:tcPr>
          <w:p w14:paraId="2859F50E" w14:textId="09E29412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1E1AD85B" w14:textId="30A2D9BA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56" w:type="dxa"/>
            <w:hideMark/>
          </w:tcPr>
          <w:p w14:paraId="06EACC5D" w14:textId="7287899C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2,5</w:t>
            </w:r>
          </w:p>
        </w:tc>
      </w:tr>
      <w:tr w:rsidR="00FF4264" w:rsidRPr="004024B2" w14:paraId="15ABAEB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E8DC9C" w14:textId="1BA76C12" w:rsidR="00FF4264" w:rsidRPr="004024B2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F4264"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1643666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Priešgaisrinė tarnyba</w:t>
            </w:r>
          </w:p>
        </w:tc>
        <w:tc>
          <w:tcPr>
            <w:tcW w:w="1559" w:type="dxa"/>
            <w:noWrap/>
            <w:hideMark/>
          </w:tcPr>
          <w:p w14:paraId="6C87A5D8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87</w:t>
            </w:r>
          </w:p>
        </w:tc>
        <w:tc>
          <w:tcPr>
            <w:tcW w:w="1310" w:type="dxa"/>
            <w:noWrap/>
            <w:hideMark/>
          </w:tcPr>
          <w:p w14:paraId="2AF2318D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87</w:t>
            </w:r>
          </w:p>
        </w:tc>
        <w:tc>
          <w:tcPr>
            <w:tcW w:w="1456" w:type="dxa"/>
            <w:hideMark/>
          </w:tcPr>
          <w:p w14:paraId="2863BF39" w14:textId="54B72C18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7A3B7232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65BA256" w14:textId="1D32EE0D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46FABFD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Kultūros centras </w:t>
            </w:r>
          </w:p>
        </w:tc>
        <w:tc>
          <w:tcPr>
            <w:tcW w:w="1559" w:type="dxa"/>
            <w:noWrap/>
            <w:hideMark/>
          </w:tcPr>
          <w:p w14:paraId="3B25CE5F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38,5</w:t>
            </w:r>
          </w:p>
        </w:tc>
        <w:tc>
          <w:tcPr>
            <w:tcW w:w="1310" w:type="dxa"/>
            <w:noWrap/>
            <w:hideMark/>
          </w:tcPr>
          <w:p w14:paraId="346AD499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38,5</w:t>
            </w:r>
          </w:p>
        </w:tc>
        <w:tc>
          <w:tcPr>
            <w:tcW w:w="1456" w:type="dxa"/>
            <w:hideMark/>
          </w:tcPr>
          <w:p w14:paraId="016AD35E" w14:textId="122369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0659315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5598D915" w14:textId="370AF331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2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3CCD5D1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Krašto muziejus</w:t>
            </w:r>
          </w:p>
        </w:tc>
        <w:tc>
          <w:tcPr>
            <w:tcW w:w="1559" w:type="dxa"/>
            <w:noWrap/>
            <w:hideMark/>
          </w:tcPr>
          <w:p w14:paraId="44338EF0" w14:textId="05C844A1" w:rsidR="00FF4264" w:rsidRPr="004024B2" w:rsidRDefault="008B65DA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10" w:type="dxa"/>
            <w:noWrap/>
            <w:hideMark/>
          </w:tcPr>
          <w:p w14:paraId="08FF6921" w14:textId="4583483C" w:rsidR="00FF4264" w:rsidRPr="004024B2" w:rsidRDefault="008B65DA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56" w:type="dxa"/>
            <w:hideMark/>
          </w:tcPr>
          <w:p w14:paraId="4970C598" w14:textId="7391BE6A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6BEE261E" w14:textId="77777777" w:rsidTr="004024B2">
        <w:trPr>
          <w:trHeight w:val="315"/>
        </w:trPr>
        <w:tc>
          <w:tcPr>
            <w:tcW w:w="870" w:type="dxa"/>
            <w:hideMark/>
          </w:tcPr>
          <w:p w14:paraId="26C57C6B" w14:textId="0703C852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3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142CAC0" w14:textId="353A11B6" w:rsidR="00FF4264" w:rsidRPr="004024B2" w:rsidRDefault="00FF4264" w:rsidP="003419B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Juozo Keliuočio viešoji biblioteka</w:t>
            </w:r>
          </w:p>
        </w:tc>
        <w:tc>
          <w:tcPr>
            <w:tcW w:w="1559" w:type="dxa"/>
            <w:hideMark/>
          </w:tcPr>
          <w:p w14:paraId="7A68CBDD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63,75</w:t>
            </w:r>
          </w:p>
        </w:tc>
        <w:tc>
          <w:tcPr>
            <w:tcW w:w="1310" w:type="dxa"/>
            <w:hideMark/>
          </w:tcPr>
          <w:p w14:paraId="2161CC42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63,75</w:t>
            </w:r>
          </w:p>
        </w:tc>
        <w:tc>
          <w:tcPr>
            <w:tcW w:w="1456" w:type="dxa"/>
            <w:hideMark/>
          </w:tcPr>
          <w:p w14:paraId="3FE5BF71" w14:textId="3942CD96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38959CFD" w14:textId="77777777" w:rsidTr="004024B2">
        <w:trPr>
          <w:trHeight w:val="315"/>
        </w:trPr>
        <w:tc>
          <w:tcPr>
            <w:tcW w:w="870" w:type="dxa"/>
            <w:hideMark/>
          </w:tcPr>
          <w:p w14:paraId="2A394576" w14:textId="2BF76349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4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22A7D61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Kūno kultūros ir sporto centras</w:t>
            </w:r>
          </w:p>
        </w:tc>
        <w:tc>
          <w:tcPr>
            <w:tcW w:w="1559" w:type="dxa"/>
            <w:hideMark/>
          </w:tcPr>
          <w:p w14:paraId="6318F74F" w14:textId="52D5CEAE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10" w:type="dxa"/>
            <w:hideMark/>
          </w:tcPr>
          <w:p w14:paraId="4FD48251" w14:textId="6F66C538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hideMark/>
          </w:tcPr>
          <w:p w14:paraId="2698377E" w14:textId="77777777" w:rsidR="00FF4264" w:rsidRPr="00F576B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B65DA">
              <w:rPr>
                <w:sz w:val="20"/>
                <w:szCs w:val="20"/>
              </w:rPr>
              <w:t>10</w:t>
            </w:r>
          </w:p>
        </w:tc>
      </w:tr>
      <w:tr w:rsidR="00FF4264" w:rsidRPr="004024B2" w14:paraId="64A9B8C0" w14:textId="77777777" w:rsidTr="004024B2">
        <w:trPr>
          <w:trHeight w:val="495"/>
        </w:trPr>
        <w:tc>
          <w:tcPr>
            <w:tcW w:w="870" w:type="dxa"/>
            <w:hideMark/>
          </w:tcPr>
          <w:p w14:paraId="5EB462EF" w14:textId="7C770CFC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5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9446089" w14:textId="4A33EFB6" w:rsidR="00FF4264" w:rsidRPr="004024B2" w:rsidRDefault="00FF4264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Socialinės paramos centras (3,4 pareigybės projektų įgyvendinimo laikotarpiu)</w:t>
            </w:r>
          </w:p>
        </w:tc>
        <w:tc>
          <w:tcPr>
            <w:tcW w:w="1559" w:type="dxa"/>
            <w:hideMark/>
          </w:tcPr>
          <w:p w14:paraId="5F384F52" w14:textId="7F6A6258" w:rsidR="00FF4264" w:rsidRPr="004024B2" w:rsidRDefault="008B65DA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310" w:type="dxa"/>
            <w:hideMark/>
          </w:tcPr>
          <w:p w14:paraId="0E47D7AE" w14:textId="3FD16C58" w:rsidR="00FF4264" w:rsidRPr="004024B2" w:rsidRDefault="008B65DA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456" w:type="dxa"/>
            <w:hideMark/>
          </w:tcPr>
          <w:p w14:paraId="7529EE59" w14:textId="54A8F7A5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40C46BD4" w14:textId="77777777" w:rsidTr="004024B2">
        <w:trPr>
          <w:trHeight w:val="570"/>
        </w:trPr>
        <w:tc>
          <w:tcPr>
            <w:tcW w:w="870" w:type="dxa"/>
            <w:hideMark/>
          </w:tcPr>
          <w:p w14:paraId="5E2197A8" w14:textId="1670BF78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9C3F62D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Visuomenės sveikatos biuras (11,1 pareigybės – iš pajamų už teikiamas paslaugas)</w:t>
            </w:r>
          </w:p>
        </w:tc>
        <w:tc>
          <w:tcPr>
            <w:tcW w:w="1559" w:type="dxa"/>
            <w:hideMark/>
          </w:tcPr>
          <w:p w14:paraId="7DC7F6A2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24,3</w:t>
            </w:r>
          </w:p>
        </w:tc>
        <w:tc>
          <w:tcPr>
            <w:tcW w:w="1310" w:type="dxa"/>
            <w:hideMark/>
          </w:tcPr>
          <w:p w14:paraId="7B4DA055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24,3</w:t>
            </w:r>
          </w:p>
        </w:tc>
        <w:tc>
          <w:tcPr>
            <w:tcW w:w="1456" w:type="dxa"/>
            <w:hideMark/>
          </w:tcPr>
          <w:p w14:paraId="6C0CC3E7" w14:textId="713149FB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559FD8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69880B" w14:textId="60C08250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D94FAA4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Turizmo ir tradicinių amatų informacijos ir koordinavimo centras</w:t>
            </w:r>
          </w:p>
        </w:tc>
        <w:tc>
          <w:tcPr>
            <w:tcW w:w="1559" w:type="dxa"/>
            <w:noWrap/>
            <w:hideMark/>
          </w:tcPr>
          <w:p w14:paraId="67604DF3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noWrap/>
            <w:hideMark/>
          </w:tcPr>
          <w:p w14:paraId="749B6473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hideMark/>
          </w:tcPr>
          <w:p w14:paraId="086995AE" w14:textId="0AF0289C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158FD88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0323782" w14:textId="38BA3859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1885CCD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pagrindinė mokykla</w:t>
            </w:r>
          </w:p>
        </w:tc>
        <w:tc>
          <w:tcPr>
            <w:tcW w:w="1559" w:type="dxa"/>
            <w:noWrap/>
            <w:hideMark/>
          </w:tcPr>
          <w:p w14:paraId="775D17EF" w14:textId="3A52970E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27,69</w:t>
            </w:r>
          </w:p>
        </w:tc>
        <w:tc>
          <w:tcPr>
            <w:tcW w:w="1310" w:type="dxa"/>
            <w:noWrap/>
            <w:hideMark/>
          </w:tcPr>
          <w:p w14:paraId="496C2881" w14:textId="0D79B846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</w:t>
            </w:r>
          </w:p>
        </w:tc>
        <w:tc>
          <w:tcPr>
            <w:tcW w:w="1456" w:type="dxa"/>
            <w:hideMark/>
          </w:tcPr>
          <w:p w14:paraId="555AC04B" w14:textId="77777777" w:rsidR="00FF4264" w:rsidRPr="009C6E0F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E0F">
              <w:rPr>
                <w:sz w:val="20"/>
                <w:szCs w:val="20"/>
              </w:rPr>
              <w:t>8,44</w:t>
            </w:r>
          </w:p>
        </w:tc>
      </w:tr>
      <w:tr w:rsidR="00FF4264" w:rsidRPr="004024B2" w14:paraId="0E992C5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71D635" w14:textId="241C9378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 w:rsidR="003B68B6"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C338713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baseinas</w:t>
            </w:r>
          </w:p>
        </w:tc>
        <w:tc>
          <w:tcPr>
            <w:tcW w:w="1559" w:type="dxa"/>
            <w:noWrap/>
            <w:hideMark/>
          </w:tcPr>
          <w:p w14:paraId="2FD192E2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15FCBDAC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18</w:t>
            </w:r>
          </w:p>
        </w:tc>
        <w:tc>
          <w:tcPr>
            <w:tcW w:w="1456" w:type="dxa"/>
            <w:hideMark/>
          </w:tcPr>
          <w:p w14:paraId="1C053399" w14:textId="119F1426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4024B2" w14:paraId="34BDEA84" w14:textId="77777777" w:rsidTr="002A2053">
        <w:trPr>
          <w:trHeight w:val="381"/>
        </w:trPr>
        <w:tc>
          <w:tcPr>
            <w:tcW w:w="870" w:type="dxa"/>
            <w:noWrap/>
            <w:hideMark/>
          </w:tcPr>
          <w:p w14:paraId="254671C0" w14:textId="7E51679A" w:rsidR="00FF4264" w:rsidRPr="004024B2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F4264"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A86A76C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Obelių socialinių paslaugų namai</w:t>
            </w:r>
          </w:p>
        </w:tc>
        <w:tc>
          <w:tcPr>
            <w:tcW w:w="1559" w:type="dxa"/>
            <w:noWrap/>
            <w:hideMark/>
          </w:tcPr>
          <w:p w14:paraId="3AD19774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76,75</w:t>
            </w:r>
          </w:p>
        </w:tc>
        <w:tc>
          <w:tcPr>
            <w:tcW w:w="1310" w:type="dxa"/>
            <w:noWrap/>
            <w:hideMark/>
          </w:tcPr>
          <w:p w14:paraId="15ABFFFB" w14:textId="77777777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76,75</w:t>
            </w:r>
          </w:p>
        </w:tc>
        <w:tc>
          <w:tcPr>
            <w:tcW w:w="1456" w:type="dxa"/>
            <w:hideMark/>
          </w:tcPr>
          <w:p w14:paraId="0287F490" w14:textId="1ED4AA8E" w:rsidR="00FF4264" w:rsidRPr="004024B2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264" w:rsidRPr="002A2053" w14:paraId="656ACF0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4DA9841" w14:textId="6F5A664F" w:rsidR="00FF4264" w:rsidRPr="004024B2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4</w:t>
            </w:r>
            <w:r w:rsidR="003B68B6"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10FDF57" w14:textId="77777777" w:rsidR="00FF4264" w:rsidRPr="004024B2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024B2">
              <w:rPr>
                <w:b/>
                <w:bCs/>
                <w:sz w:val="20"/>
                <w:szCs w:val="20"/>
              </w:rPr>
              <w:t>Iš viso</w:t>
            </w:r>
          </w:p>
        </w:tc>
        <w:tc>
          <w:tcPr>
            <w:tcW w:w="1559" w:type="dxa"/>
            <w:noWrap/>
            <w:hideMark/>
          </w:tcPr>
          <w:p w14:paraId="58F7CB78" w14:textId="1328B76C" w:rsidR="00FF4264" w:rsidRPr="002A2053" w:rsidRDefault="00E7170A" w:rsidP="00044505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  <w:r w:rsidR="0004450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04450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310" w:type="dxa"/>
            <w:noWrap/>
            <w:hideMark/>
          </w:tcPr>
          <w:p w14:paraId="3545A3A5" w14:textId="36564B96" w:rsidR="00FF4264" w:rsidRPr="002A2053" w:rsidRDefault="004D4B38" w:rsidP="00044505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1136,</w:t>
            </w:r>
            <w:r w:rsidR="0004450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456" w:type="dxa"/>
            <w:noWrap/>
            <w:hideMark/>
          </w:tcPr>
          <w:p w14:paraId="4BA3C935" w14:textId="0468DAD1" w:rsidR="00FF4264" w:rsidRPr="002A2053" w:rsidRDefault="002A2053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53">
              <w:rPr>
                <w:b/>
                <w:sz w:val="20"/>
                <w:szCs w:val="20"/>
              </w:rPr>
              <w:t>289,69</w:t>
            </w:r>
          </w:p>
        </w:tc>
      </w:tr>
    </w:tbl>
    <w:p w14:paraId="7ACF9CDC" w14:textId="459F2C50" w:rsidR="002B409B" w:rsidRPr="009C6E0F" w:rsidRDefault="009C6E0F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1052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2AE1052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AB7552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64AE73A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295740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A91608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631CE8D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FCDBC1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2B548B3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B2B10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53F182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08DF48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EA6B2E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C1EADE2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019FB4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95885C0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40FC38E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BCE1041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B525638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0C27C8F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031481A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DA7D23A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CEF8411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872076" w14:textId="77777777" w:rsidR="003D7972" w:rsidRDefault="003D7972" w:rsidP="003D7972">
      <w:r>
        <w:t>Rokiškio rajono savivaldybės tarybai</w:t>
      </w:r>
    </w:p>
    <w:p w14:paraId="0EF53034" w14:textId="77777777" w:rsidR="003D7972" w:rsidRDefault="003D7972" w:rsidP="003D7972">
      <w:pPr>
        <w:jc w:val="both"/>
      </w:pPr>
    </w:p>
    <w:p w14:paraId="7BC2C37C" w14:textId="17D56FE4" w:rsidR="003D7972" w:rsidRDefault="003D7972" w:rsidP="003D7972">
      <w:pPr>
        <w:jc w:val="center"/>
      </w:pPr>
      <w:r>
        <w:rPr>
          <w:b/>
        </w:rPr>
        <w:t>SPRENDIMO PROJEKTO</w:t>
      </w:r>
      <w:r w:rsidR="008B66AC">
        <w:rPr>
          <w:b/>
        </w:rPr>
        <w:t xml:space="preserve"> ,,</w:t>
      </w:r>
      <w:r w:rsidR="007251B8">
        <w:rPr>
          <w:b/>
          <w:szCs w:val="20"/>
        </w:rPr>
        <w:t>DĖL DIDŽIAUSIO LEISTINO DARBUOTOJŲ PAREIGYBIŲ SKAIČIAUS</w:t>
      </w:r>
      <w:r w:rsidR="007251B8">
        <w:rPr>
          <w:b/>
        </w:rPr>
        <w:t xml:space="preserve"> PATVIRTINIMO ROKIŠKIO RAJONO SAVIVALDYBĖS BIUDŽETINĖSE ĮSTAIGOSE</w:t>
      </w:r>
      <w:r w:rsidR="008B66AC">
        <w:rPr>
          <w:b/>
        </w:rPr>
        <w:t xml:space="preserve">“ </w:t>
      </w:r>
      <w:r>
        <w:rPr>
          <w:b/>
        </w:rPr>
        <w:t>AIŠKINAMASIS RAŠTAS</w:t>
      </w:r>
    </w:p>
    <w:p w14:paraId="79D25E3C" w14:textId="77777777" w:rsidR="003D7972" w:rsidRDefault="003D7972" w:rsidP="003D7972">
      <w:pPr>
        <w:ind w:right="197"/>
        <w:jc w:val="center"/>
        <w:rPr>
          <w:b/>
        </w:rPr>
      </w:pPr>
    </w:p>
    <w:p w14:paraId="717E443D" w14:textId="77777777" w:rsidR="00511CCC" w:rsidRPr="002A2053" w:rsidRDefault="00511CCC" w:rsidP="00511CCC">
      <w:pPr>
        <w:jc w:val="center"/>
        <w:rPr>
          <w:b/>
        </w:rPr>
      </w:pPr>
    </w:p>
    <w:p w14:paraId="4B34E09F" w14:textId="77777777" w:rsidR="00EB7587" w:rsidRDefault="008B66AC" w:rsidP="00EB7587">
      <w:pPr>
        <w:tabs>
          <w:tab w:val="left" w:pos="851"/>
        </w:tabs>
        <w:jc w:val="both"/>
        <w:rPr>
          <w:bCs/>
          <w:color w:val="000000"/>
        </w:rPr>
      </w:pPr>
      <w:r>
        <w:rPr>
          <w:b/>
        </w:rPr>
        <w:tab/>
      </w:r>
      <w:r w:rsidR="00511CCC" w:rsidRPr="00511CCC">
        <w:rPr>
          <w:b/>
        </w:rPr>
        <w:t>Sprendimo projekto tikslai ir uždaviniai. P</w:t>
      </w:r>
      <w:r w:rsidR="00511CCC" w:rsidRPr="00511CCC">
        <w:rPr>
          <w:bCs/>
          <w:color w:val="000000"/>
        </w:rPr>
        <w:t>atikslinti didžiausią leistiną darbuotojų skaičių Rokiškio rajono biudžetinėse įstaigose.</w:t>
      </w:r>
    </w:p>
    <w:p w14:paraId="19245508" w14:textId="205EAF3B" w:rsidR="00511CCC" w:rsidRPr="00EB7587" w:rsidRDefault="00EB7587" w:rsidP="00EB7587">
      <w:pPr>
        <w:tabs>
          <w:tab w:val="left" w:pos="851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511CCC" w:rsidRPr="00511CCC">
        <w:rPr>
          <w:b/>
          <w:bCs/>
        </w:rPr>
        <w:t>Teisinio reguliavimo nuostatos.</w:t>
      </w:r>
      <w:r w:rsidR="00511CCC" w:rsidRPr="00511CCC">
        <w:t xml:space="preserve"> Sprendimo projektas yra parengtas, vadovaujantis  </w:t>
      </w:r>
      <w:r w:rsidR="00511CCC" w:rsidRPr="00511CCC">
        <w:rPr>
          <w:color w:val="000000"/>
        </w:rPr>
        <w:t>Lietuvos Respublikos vietos savivaldos įstatymo 16 straipsnio 2 dalies 21 punktu, 18 straipsnio 1 dalimi, Lietuvos Respublikos biudžetinių įstaigų įstatymo 4 straipsnio 1 ir 2 dalimis</w:t>
      </w:r>
      <w:r w:rsidR="00511CCC">
        <w:rPr>
          <w:color w:val="000000"/>
        </w:rPr>
        <w:t>, 3 dalies 7 punktu ir 4 dalimi .</w:t>
      </w:r>
    </w:p>
    <w:p w14:paraId="55F59B14" w14:textId="18834474" w:rsidR="00896A8C" w:rsidRDefault="00511CCC" w:rsidP="00043E7E">
      <w:pPr>
        <w:tabs>
          <w:tab w:val="right" w:pos="851"/>
          <w:tab w:val="center" w:pos="4153"/>
          <w:tab w:val="right" w:pos="8306"/>
        </w:tabs>
        <w:jc w:val="both"/>
      </w:pPr>
      <w:r w:rsidRPr="00511CCC">
        <w:rPr>
          <w:b/>
          <w:bCs/>
        </w:rPr>
        <w:tab/>
      </w:r>
      <w:r w:rsidR="008B66AC">
        <w:rPr>
          <w:b/>
          <w:bCs/>
        </w:rPr>
        <w:tab/>
      </w:r>
      <w:r w:rsidRPr="00511CCC">
        <w:rPr>
          <w:b/>
          <w:bCs/>
        </w:rPr>
        <w:t>Sprendimo projekto esmė.</w:t>
      </w:r>
      <w:r w:rsidRPr="00511CCC">
        <w:t xml:space="preserve"> Bendras pareigybių skaičius </w:t>
      </w:r>
      <w:r w:rsidR="00896A8C">
        <w:t>didinamas 0,75 pareigybės:</w:t>
      </w:r>
      <w:r w:rsidRPr="00511CCC">
        <w:t xml:space="preserve"> </w:t>
      </w:r>
    </w:p>
    <w:p w14:paraId="4740D1B3" w14:textId="5A851294" w:rsidR="00896A8C" w:rsidRDefault="00F32D67" w:rsidP="00043E7E">
      <w:pPr>
        <w:tabs>
          <w:tab w:val="right" w:pos="851"/>
          <w:tab w:val="center" w:pos="4153"/>
          <w:tab w:val="right" w:pos="8306"/>
        </w:tabs>
        <w:jc w:val="both"/>
      </w:pPr>
      <w:r>
        <w:t>mokykloje-darželyje</w:t>
      </w:r>
      <w:r w:rsidR="00896A8C">
        <w:t xml:space="preserve"> „Ąžuoliukas“ didinama 0,5 mokytojo padėjėjo pareigybės, Senamiesčio progimnazijos Laibgalių ikimokyklinio ir pr</w:t>
      </w:r>
      <w:r>
        <w:t>iešmokyklinio</w:t>
      </w:r>
      <w:r w:rsidR="00896A8C">
        <w:t xml:space="preserve"> ugdymo skyriuje didinama 0,25 mokytojo padėjėjo pareigybės. Mokytojų padėjėjų pareigybės didinamos dėl to, kad </w:t>
      </w:r>
      <w:r w:rsidR="004F7737">
        <w:t xml:space="preserve">pagal </w:t>
      </w:r>
      <w:r w:rsidR="00896A8C">
        <w:t>pedagoginė</w:t>
      </w:r>
      <w:r w:rsidR="004F7737">
        <w:t>s</w:t>
      </w:r>
      <w:r w:rsidR="00896A8C">
        <w:t xml:space="preserve"> psichologinė</w:t>
      </w:r>
      <w:r w:rsidR="004F7737">
        <w:t>s</w:t>
      </w:r>
      <w:r w:rsidR="00896A8C">
        <w:t xml:space="preserve"> tarnyb</w:t>
      </w:r>
      <w:r w:rsidR="004F7737">
        <w:t>os išvadas</w:t>
      </w:r>
      <w:r>
        <w:t xml:space="preserve"> 2 mokyklos-darželio „Ąžuoliukas“ mokiniams nustatytas vidutinis specialiųjų ugdymosi poreikių lygis</w:t>
      </w:r>
      <w:r w:rsidR="00EB7587">
        <w:t xml:space="preserve"> ir reikia </w:t>
      </w:r>
      <w:r>
        <w:t xml:space="preserve">mokytojo padėjėjo </w:t>
      </w:r>
      <w:r w:rsidR="00EB7587">
        <w:t>pagalbos</w:t>
      </w:r>
      <w:r>
        <w:t xml:space="preserve">, Senamiesčio progimnazijos Laibgalių ikimokyklinio ir priešmokyklinio ugdymo skyriaus vaikui nustatytas didelis specialiųjų ugdymosi poreikių lygis, </w:t>
      </w:r>
      <w:r w:rsidR="00EB7587">
        <w:t>todėl taip pat reikia mokytojo padėjėjo pagalbos</w:t>
      </w:r>
      <w:r>
        <w:t>.</w:t>
      </w:r>
    </w:p>
    <w:p w14:paraId="19C276BB" w14:textId="6A9E029B" w:rsidR="003D7972" w:rsidRPr="00F32D67" w:rsidRDefault="008B66AC" w:rsidP="00F32D67">
      <w:pPr>
        <w:pStyle w:val="Antrats"/>
        <w:tabs>
          <w:tab w:val="right" w:pos="851"/>
        </w:tabs>
        <w:jc w:val="both"/>
      </w:pPr>
      <w:r>
        <w:tab/>
      </w:r>
      <w:r>
        <w:tab/>
      </w:r>
      <w:r w:rsidR="003D7972" w:rsidRPr="00F32D67">
        <w:rPr>
          <w:b/>
        </w:rPr>
        <w:t>Laukiami rezultatai.</w:t>
      </w:r>
      <w:r w:rsidR="00F13C86" w:rsidRPr="00F32D67">
        <w:rPr>
          <w:b/>
        </w:rPr>
        <w:t xml:space="preserve"> </w:t>
      </w:r>
      <w:r w:rsidR="00EE21F1" w:rsidRPr="00F32D67">
        <w:t>Patvirtintas  pareigybių skaičius  atitiks Švietimo</w:t>
      </w:r>
      <w:r w:rsidR="00F32D67" w:rsidRPr="00F32D67">
        <w:t>, mokslo ir sporto  ministerijos</w:t>
      </w:r>
      <w:r w:rsidR="00EE21F1" w:rsidRPr="00F32D67">
        <w:t xml:space="preserve">  teisės  aktus ir užtikrins </w:t>
      </w:r>
      <w:r w:rsidR="00992803">
        <w:t>kokybišką mokinių</w:t>
      </w:r>
      <w:r w:rsidR="00EB7587">
        <w:t xml:space="preserve"> </w:t>
      </w:r>
      <w:r w:rsidR="00992803">
        <w:t>/</w:t>
      </w:r>
      <w:r w:rsidR="00EB7587">
        <w:t xml:space="preserve"> </w:t>
      </w:r>
      <w:r w:rsidR="00992803">
        <w:t>vaikų, kuriems nustatytas specialiųjų ugdymosi poreikių lygis, ugdymą.</w:t>
      </w:r>
    </w:p>
    <w:p w14:paraId="6A720B1A" w14:textId="77777777" w:rsidR="00EB7587" w:rsidRDefault="003D7972" w:rsidP="00EB7587">
      <w:pPr>
        <w:pStyle w:val="Antrats"/>
        <w:tabs>
          <w:tab w:val="left" w:pos="851"/>
        </w:tabs>
        <w:jc w:val="both"/>
        <w:rPr>
          <w:bCs/>
        </w:rPr>
      </w:pPr>
      <w:r w:rsidRPr="00F32D67">
        <w:tab/>
      </w:r>
      <w:r w:rsidRPr="00F32D67">
        <w:rPr>
          <w:b/>
          <w:bCs/>
        </w:rPr>
        <w:t>Finans</w:t>
      </w:r>
      <w:r w:rsidR="00696EED" w:rsidRPr="00F32D67">
        <w:rPr>
          <w:b/>
          <w:bCs/>
        </w:rPr>
        <w:t xml:space="preserve">avimo šaltiniai ir lėšų poreikis. </w:t>
      </w:r>
      <w:r w:rsidR="00696EED" w:rsidRPr="00F32D67">
        <w:rPr>
          <w:bCs/>
        </w:rPr>
        <w:t>Finansavimo šaltiniai</w:t>
      </w:r>
      <w:r w:rsidR="00EB7587">
        <w:rPr>
          <w:bCs/>
        </w:rPr>
        <w:t>:</w:t>
      </w:r>
      <w:r w:rsidR="00696EED" w:rsidRPr="00F32D67">
        <w:rPr>
          <w:bCs/>
        </w:rPr>
        <w:t xml:space="preserve"> savivaldybės biudžeto lėšos, valstybės biudžeto lėšos. </w:t>
      </w:r>
      <w:r w:rsidR="00992803">
        <w:rPr>
          <w:bCs/>
        </w:rPr>
        <w:t>Papildomai 2022 metams reikės 6,9 tūkst.</w:t>
      </w:r>
      <w:r w:rsidR="008B66AC">
        <w:rPr>
          <w:bCs/>
        </w:rPr>
        <w:t xml:space="preserve"> </w:t>
      </w:r>
      <w:r w:rsidR="00992803">
        <w:rPr>
          <w:bCs/>
        </w:rPr>
        <w:t>eurų.</w:t>
      </w:r>
    </w:p>
    <w:p w14:paraId="44967C69" w14:textId="77777777" w:rsidR="00EB7587" w:rsidRDefault="00EB7587" w:rsidP="00EB7587">
      <w:pPr>
        <w:pStyle w:val="Antrats"/>
        <w:tabs>
          <w:tab w:val="left" w:pos="851"/>
        </w:tabs>
        <w:jc w:val="both"/>
        <w:rPr>
          <w:color w:val="000000"/>
        </w:rPr>
      </w:pPr>
      <w:r>
        <w:rPr>
          <w:bCs/>
        </w:rPr>
        <w:tab/>
      </w:r>
      <w:r>
        <w:rPr>
          <w:bCs/>
        </w:rPr>
        <w:tab/>
      </w:r>
      <w:r w:rsidR="003D7972">
        <w:rPr>
          <w:b/>
          <w:bCs/>
          <w:color w:val="000000"/>
        </w:rPr>
        <w:t>Suderinamumas su Lietuvos Respublikos galiojančiais teisės norminiais aktais.</w:t>
      </w:r>
      <w:r w:rsidR="00EE21F1" w:rsidRPr="00EE21F1">
        <w:rPr>
          <w:color w:val="000000"/>
        </w:rPr>
        <w:t xml:space="preserve"> </w:t>
      </w:r>
      <w:r w:rsidR="00EE21F1">
        <w:rPr>
          <w:color w:val="000000"/>
        </w:rPr>
        <w:t>Projektas neprieštarauja galiojantiems teisės aktams.</w:t>
      </w:r>
    </w:p>
    <w:p w14:paraId="20748280" w14:textId="29D9388F" w:rsidR="00EE21F1" w:rsidRPr="00EB7587" w:rsidRDefault="00EB7587" w:rsidP="00EB7587">
      <w:pPr>
        <w:pStyle w:val="Antrats"/>
        <w:tabs>
          <w:tab w:val="left" w:pos="851"/>
        </w:tabs>
        <w:jc w:val="both"/>
      </w:pPr>
      <w:r>
        <w:rPr>
          <w:color w:val="000000"/>
        </w:rPr>
        <w:tab/>
      </w:r>
      <w:r w:rsidR="00EE21F1">
        <w:rPr>
          <w:b/>
        </w:rPr>
        <w:t xml:space="preserve">Antikorupcinis vertinimas. </w:t>
      </w:r>
      <w:r w:rsidR="00EE21F1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30BF360D" w14:textId="77777777" w:rsidR="00EE21F1" w:rsidRDefault="00EE21F1" w:rsidP="00EE21F1"/>
    <w:p w14:paraId="6826E1CE" w14:textId="3E048F4B" w:rsidR="003D7972" w:rsidRDefault="00EE21F1" w:rsidP="00992803">
      <w:pPr>
        <w:jc w:val="both"/>
      </w:pPr>
      <w:r>
        <w:t xml:space="preserve">Finansų skyriaus vedėja                             </w:t>
      </w:r>
      <w:r w:rsidR="008B66AC">
        <w:tab/>
      </w:r>
      <w:r w:rsidR="008B66AC">
        <w:tab/>
      </w:r>
      <w:r w:rsidR="008B66AC">
        <w:tab/>
      </w:r>
      <w:r>
        <w:t xml:space="preserve"> Reda Dūdienė</w:t>
      </w:r>
    </w:p>
    <w:p w14:paraId="36B1943F" w14:textId="77777777" w:rsidR="003D7972" w:rsidRDefault="003D7972" w:rsidP="003D7972">
      <w:pPr>
        <w:ind w:firstLine="851"/>
        <w:jc w:val="both"/>
        <w:rPr>
          <w:color w:val="000000"/>
        </w:rPr>
      </w:pPr>
    </w:p>
    <w:p w14:paraId="38566E19" w14:textId="77777777" w:rsidR="003D7972" w:rsidRDefault="003D7972" w:rsidP="003D7972">
      <w:pPr>
        <w:ind w:firstLine="851"/>
        <w:jc w:val="both"/>
        <w:rPr>
          <w:color w:val="000000"/>
        </w:rPr>
      </w:pPr>
    </w:p>
    <w:p w14:paraId="66CA82B5" w14:textId="77777777" w:rsidR="003D7972" w:rsidRDefault="003D7972" w:rsidP="003D7972">
      <w:pPr>
        <w:ind w:firstLine="851"/>
        <w:jc w:val="both"/>
        <w:rPr>
          <w:color w:val="000000"/>
        </w:rPr>
      </w:pPr>
    </w:p>
    <w:p w14:paraId="02053A7E" w14:textId="77777777" w:rsidR="003D7972" w:rsidRDefault="003D7972" w:rsidP="003D7972">
      <w:pPr>
        <w:ind w:firstLine="851"/>
        <w:jc w:val="both"/>
      </w:pPr>
    </w:p>
    <w:p w14:paraId="2AE1052C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D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E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F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0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31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44" w14:textId="77777777" w:rsidR="00203E73" w:rsidRDefault="00203E73" w:rsidP="008066A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sectPr w:rsidR="00203E73" w:rsidSect="00452792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8CEB3" w14:textId="77777777" w:rsidR="00011D94" w:rsidRDefault="00011D94" w:rsidP="00AF4743">
      <w:r>
        <w:separator/>
      </w:r>
    </w:p>
  </w:endnote>
  <w:endnote w:type="continuationSeparator" w:id="0">
    <w:p w14:paraId="630A21D6" w14:textId="77777777" w:rsidR="00011D94" w:rsidRDefault="00011D94" w:rsidP="00A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F849B" w14:textId="77777777" w:rsidR="00011D94" w:rsidRDefault="00011D94" w:rsidP="00AF4743">
      <w:r>
        <w:separator/>
      </w:r>
    </w:p>
  </w:footnote>
  <w:footnote w:type="continuationSeparator" w:id="0">
    <w:p w14:paraId="372E1AAA" w14:textId="77777777" w:rsidR="00011D94" w:rsidRDefault="00011D94" w:rsidP="00AF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2ED4" w14:textId="050F2115" w:rsidR="00251760" w:rsidRDefault="00251760" w:rsidP="00674F74">
    <w:pPr>
      <w:pStyle w:val="Antrats"/>
      <w:jc w:val="right"/>
    </w:pPr>
    <w: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3"/>
    <w:rsid w:val="00011D94"/>
    <w:rsid w:val="00021F06"/>
    <w:rsid w:val="00022453"/>
    <w:rsid w:val="00025AFD"/>
    <w:rsid w:val="000420D8"/>
    <w:rsid w:val="00043E7E"/>
    <w:rsid w:val="00044505"/>
    <w:rsid w:val="00044EEF"/>
    <w:rsid w:val="00053088"/>
    <w:rsid w:val="00072C51"/>
    <w:rsid w:val="00073A22"/>
    <w:rsid w:val="00094028"/>
    <w:rsid w:val="000946FB"/>
    <w:rsid w:val="0009490C"/>
    <w:rsid w:val="000A5173"/>
    <w:rsid w:val="000A5A93"/>
    <w:rsid w:val="000B073E"/>
    <w:rsid w:val="000B26CC"/>
    <w:rsid w:val="000D3CD1"/>
    <w:rsid w:val="000D7A01"/>
    <w:rsid w:val="000E118A"/>
    <w:rsid w:val="000E32CC"/>
    <w:rsid w:val="00103006"/>
    <w:rsid w:val="00130A07"/>
    <w:rsid w:val="001320B3"/>
    <w:rsid w:val="001435DD"/>
    <w:rsid w:val="00163AD2"/>
    <w:rsid w:val="001704DD"/>
    <w:rsid w:val="0018139D"/>
    <w:rsid w:val="00182991"/>
    <w:rsid w:val="0018417D"/>
    <w:rsid w:val="001860B0"/>
    <w:rsid w:val="0018686D"/>
    <w:rsid w:val="0019521D"/>
    <w:rsid w:val="00195674"/>
    <w:rsid w:val="001B48AB"/>
    <w:rsid w:val="001B579B"/>
    <w:rsid w:val="001B6149"/>
    <w:rsid w:val="001C3250"/>
    <w:rsid w:val="001D07FE"/>
    <w:rsid w:val="001D3054"/>
    <w:rsid w:val="001D4553"/>
    <w:rsid w:val="00203E73"/>
    <w:rsid w:val="0021608E"/>
    <w:rsid w:val="00225CC1"/>
    <w:rsid w:val="002448D7"/>
    <w:rsid w:val="0024557E"/>
    <w:rsid w:val="00251760"/>
    <w:rsid w:val="002A2053"/>
    <w:rsid w:val="002B1AA0"/>
    <w:rsid w:val="002B409B"/>
    <w:rsid w:val="002B67BD"/>
    <w:rsid w:val="002D6FAE"/>
    <w:rsid w:val="0031531A"/>
    <w:rsid w:val="0032461A"/>
    <w:rsid w:val="003255B4"/>
    <w:rsid w:val="00327057"/>
    <w:rsid w:val="003355C1"/>
    <w:rsid w:val="003358DA"/>
    <w:rsid w:val="003419B1"/>
    <w:rsid w:val="003468DF"/>
    <w:rsid w:val="00350214"/>
    <w:rsid w:val="00354D4F"/>
    <w:rsid w:val="00375498"/>
    <w:rsid w:val="00381ED7"/>
    <w:rsid w:val="00392349"/>
    <w:rsid w:val="0039738D"/>
    <w:rsid w:val="00397BF2"/>
    <w:rsid w:val="003A0D0B"/>
    <w:rsid w:val="003A50AF"/>
    <w:rsid w:val="003B1CD1"/>
    <w:rsid w:val="003B62C5"/>
    <w:rsid w:val="003B68B6"/>
    <w:rsid w:val="003D5595"/>
    <w:rsid w:val="003D7972"/>
    <w:rsid w:val="003E2F6D"/>
    <w:rsid w:val="003E4AAD"/>
    <w:rsid w:val="004024B2"/>
    <w:rsid w:val="00403FD3"/>
    <w:rsid w:val="004120A7"/>
    <w:rsid w:val="00421F8E"/>
    <w:rsid w:val="00446206"/>
    <w:rsid w:val="00452792"/>
    <w:rsid w:val="00454E52"/>
    <w:rsid w:val="0045514B"/>
    <w:rsid w:val="00462B9C"/>
    <w:rsid w:val="00477A88"/>
    <w:rsid w:val="00486AFB"/>
    <w:rsid w:val="004C68C4"/>
    <w:rsid w:val="004D4B38"/>
    <w:rsid w:val="004E0D2D"/>
    <w:rsid w:val="004F4EF8"/>
    <w:rsid w:val="004F7737"/>
    <w:rsid w:val="004F7BAC"/>
    <w:rsid w:val="00511CCC"/>
    <w:rsid w:val="005153AB"/>
    <w:rsid w:val="00527F6F"/>
    <w:rsid w:val="005409E6"/>
    <w:rsid w:val="00542445"/>
    <w:rsid w:val="005561F4"/>
    <w:rsid w:val="00563605"/>
    <w:rsid w:val="00583CCE"/>
    <w:rsid w:val="0059601D"/>
    <w:rsid w:val="005A259B"/>
    <w:rsid w:val="005A5DC6"/>
    <w:rsid w:val="005C266F"/>
    <w:rsid w:val="005C27EF"/>
    <w:rsid w:val="005C78EF"/>
    <w:rsid w:val="005C7AA4"/>
    <w:rsid w:val="005D1A22"/>
    <w:rsid w:val="005E0343"/>
    <w:rsid w:val="0060252C"/>
    <w:rsid w:val="00607475"/>
    <w:rsid w:val="006140A9"/>
    <w:rsid w:val="006240D1"/>
    <w:rsid w:val="006332B2"/>
    <w:rsid w:val="006444F1"/>
    <w:rsid w:val="00653EDE"/>
    <w:rsid w:val="00660A2E"/>
    <w:rsid w:val="00674F74"/>
    <w:rsid w:val="006819E2"/>
    <w:rsid w:val="006867A6"/>
    <w:rsid w:val="006941E8"/>
    <w:rsid w:val="00696EED"/>
    <w:rsid w:val="006A01F6"/>
    <w:rsid w:val="006A1BFB"/>
    <w:rsid w:val="006B0A9A"/>
    <w:rsid w:val="006B3AD5"/>
    <w:rsid w:val="006B73C1"/>
    <w:rsid w:val="006C32B7"/>
    <w:rsid w:val="006D61FF"/>
    <w:rsid w:val="006F456F"/>
    <w:rsid w:val="007027A9"/>
    <w:rsid w:val="00715C36"/>
    <w:rsid w:val="00721911"/>
    <w:rsid w:val="00722DF7"/>
    <w:rsid w:val="007251B8"/>
    <w:rsid w:val="00742438"/>
    <w:rsid w:val="00753696"/>
    <w:rsid w:val="007700D1"/>
    <w:rsid w:val="0077269A"/>
    <w:rsid w:val="00773A1C"/>
    <w:rsid w:val="00785852"/>
    <w:rsid w:val="00794CBF"/>
    <w:rsid w:val="007B2455"/>
    <w:rsid w:val="007B3573"/>
    <w:rsid w:val="007B4F6F"/>
    <w:rsid w:val="007C6037"/>
    <w:rsid w:val="007D1FA8"/>
    <w:rsid w:val="007D4A3C"/>
    <w:rsid w:val="007E1A1C"/>
    <w:rsid w:val="007E4D6D"/>
    <w:rsid w:val="007F4E60"/>
    <w:rsid w:val="00805C18"/>
    <w:rsid w:val="008066A7"/>
    <w:rsid w:val="00812E70"/>
    <w:rsid w:val="00826ADE"/>
    <w:rsid w:val="00826B06"/>
    <w:rsid w:val="00832EB4"/>
    <w:rsid w:val="00837F2C"/>
    <w:rsid w:val="00852E91"/>
    <w:rsid w:val="008619C2"/>
    <w:rsid w:val="00862400"/>
    <w:rsid w:val="00864478"/>
    <w:rsid w:val="00891234"/>
    <w:rsid w:val="00896A8C"/>
    <w:rsid w:val="0089773D"/>
    <w:rsid w:val="008A5159"/>
    <w:rsid w:val="008B65DA"/>
    <w:rsid w:val="008B66AC"/>
    <w:rsid w:val="008C2B65"/>
    <w:rsid w:val="008C34BC"/>
    <w:rsid w:val="008E0C85"/>
    <w:rsid w:val="008E174D"/>
    <w:rsid w:val="008E6DB9"/>
    <w:rsid w:val="00926E66"/>
    <w:rsid w:val="009417EB"/>
    <w:rsid w:val="00944861"/>
    <w:rsid w:val="009452C9"/>
    <w:rsid w:val="009455A0"/>
    <w:rsid w:val="009479A4"/>
    <w:rsid w:val="00960279"/>
    <w:rsid w:val="00972853"/>
    <w:rsid w:val="0098080B"/>
    <w:rsid w:val="00981BC3"/>
    <w:rsid w:val="00983297"/>
    <w:rsid w:val="00992803"/>
    <w:rsid w:val="0099352C"/>
    <w:rsid w:val="009A0324"/>
    <w:rsid w:val="009A55B8"/>
    <w:rsid w:val="009B1A9F"/>
    <w:rsid w:val="009B7281"/>
    <w:rsid w:val="009C3834"/>
    <w:rsid w:val="009C631F"/>
    <w:rsid w:val="009C6E0F"/>
    <w:rsid w:val="009D5995"/>
    <w:rsid w:val="009D6661"/>
    <w:rsid w:val="00A15E9A"/>
    <w:rsid w:val="00A21AD0"/>
    <w:rsid w:val="00A23EAD"/>
    <w:rsid w:val="00A25796"/>
    <w:rsid w:val="00A3546E"/>
    <w:rsid w:val="00A4137A"/>
    <w:rsid w:val="00A41454"/>
    <w:rsid w:val="00A42CB7"/>
    <w:rsid w:val="00A43143"/>
    <w:rsid w:val="00A4496E"/>
    <w:rsid w:val="00A44F04"/>
    <w:rsid w:val="00A54F9D"/>
    <w:rsid w:val="00A5689B"/>
    <w:rsid w:val="00A56E48"/>
    <w:rsid w:val="00A610DF"/>
    <w:rsid w:val="00A6264E"/>
    <w:rsid w:val="00A6386E"/>
    <w:rsid w:val="00A81E26"/>
    <w:rsid w:val="00A839B3"/>
    <w:rsid w:val="00A86C30"/>
    <w:rsid w:val="00A96D8E"/>
    <w:rsid w:val="00AA1F0F"/>
    <w:rsid w:val="00AB0E40"/>
    <w:rsid w:val="00AC3915"/>
    <w:rsid w:val="00AC4627"/>
    <w:rsid w:val="00AC5E0A"/>
    <w:rsid w:val="00AC7CD5"/>
    <w:rsid w:val="00AD62F3"/>
    <w:rsid w:val="00AE18C6"/>
    <w:rsid w:val="00AE18E4"/>
    <w:rsid w:val="00AE4EAB"/>
    <w:rsid w:val="00AF4743"/>
    <w:rsid w:val="00B50C32"/>
    <w:rsid w:val="00B52D33"/>
    <w:rsid w:val="00B639F1"/>
    <w:rsid w:val="00B63E51"/>
    <w:rsid w:val="00B66181"/>
    <w:rsid w:val="00B85708"/>
    <w:rsid w:val="00B87DD8"/>
    <w:rsid w:val="00B9217F"/>
    <w:rsid w:val="00B9442E"/>
    <w:rsid w:val="00BA05F2"/>
    <w:rsid w:val="00BB222A"/>
    <w:rsid w:val="00BB27B2"/>
    <w:rsid w:val="00BC2933"/>
    <w:rsid w:val="00BD3CB1"/>
    <w:rsid w:val="00BD6878"/>
    <w:rsid w:val="00C02069"/>
    <w:rsid w:val="00C15E96"/>
    <w:rsid w:val="00C2310A"/>
    <w:rsid w:val="00C32F7D"/>
    <w:rsid w:val="00C35272"/>
    <w:rsid w:val="00C46945"/>
    <w:rsid w:val="00C478E2"/>
    <w:rsid w:val="00C62590"/>
    <w:rsid w:val="00C667D7"/>
    <w:rsid w:val="00C72B6F"/>
    <w:rsid w:val="00CA1641"/>
    <w:rsid w:val="00CA398B"/>
    <w:rsid w:val="00CC1FCA"/>
    <w:rsid w:val="00CE7985"/>
    <w:rsid w:val="00CF4754"/>
    <w:rsid w:val="00D2073F"/>
    <w:rsid w:val="00D31ADB"/>
    <w:rsid w:val="00D31DF6"/>
    <w:rsid w:val="00D357DC"/>
    <w:rsid w:val="00D439C7"/>
    <w:rsid w:val="00D60C36"/>
    <w:rsid w:val="00D64A41"/>
    <w:rsid w:val="00D74863"/>
    <w:rsid w:val="00D83F84"/>
    <w:rsid w:val="00DA3C26"/>
    <w:rsid w:val="00DF4761"/>
    <w:rsid w:val="00E17F1C"/>
    <w:rsid w:val="00E45CD4"/>
    <w:rsid w:val="00E7170A"/>
    <w:rsid w:val="00E82B68"/>
    <w:rsid w:val="00E909FB"/>
    <w:rsid w:val="00EA05BA"/>
    <w:rsid w:val="00EB1692"/>
    <w:rsid w:val="00EB3716"/>
    <w:rsid w:val="00EB7587"/>
    <w:rsid w:val="00ED7578"/>
    <w:rsid w:val="00ED77A6"/>
    <w:rsid w:val="00EE02CB"/>
    <w:rsid w:val="00EE21F1"/>
    <w:rsid w:val="00EE4CA3"/>
    <w:rsid w:val="00F0336A"/>
    <w:rsid w:val="00F13C86"/>
    <w:rsid w:val="00F26CF6"/>
    <w:rsid w:val="00F311B1"/>
    <w:rsid w:val="00F32D67"/>
    <w:rsid w:val="00F44ECF"/>
    <w:rsid w:val="00F5261A"/>
    <w:rsid w:val="00F55B48"/>
    <w:rsid w:val="00F56ECE"/>
    <w:rsid w:val="00F576BC"/>
    <w:rsid w:val="00F91C54"/>
    <w:rsid w:val="00F92E54"/>
    <w:rsid w:val="00F97689"/>
    <w:rsid w:val="00FA6485"/>
    <w:rsid w:val="00FB5528"/>
    <w:rsid w:val="00FC5041"/>
    <w:rsid w:val="00FD280B"/>
    <w:rsid w:val="00FD3190"/>
    <w:rsid w:val="00FD7C6C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F365-4018-4ACE-AD4F-F6AF2B03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4377</Words>
  <Characters>2496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Reda Dudienė</dc:creator>
  <cp:lastModifiedBy>Asta Zakareviciene</cp:lastModifiedBy>
  <cp:revision>16</cp:revision>
  <cp:lastPrinted>2021-12-20T12:52:00Z</cp:lastPrinted>
  <dcterms:created xsi:type="dcterms:W3CDTF">2022-02-03T05:49:00Z</dcterms:created>
  <dcterms:modified xsi:type="dcterms:W3CDTF">2022-02-09T09:36:00Z</dcterms:modified>
</cp:coreProperties>
</file>