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82BFC" w14:textId="77777777" w:rsidR="00D51BC6" w:rsidRPr="00D93562" w:rsidRDefault="00D93562" w:rsidP="00E213CC">
      <w:pPr>
        <w:spacing w:after="0"/>
        <w:jc w:val="center"/>
        <w:rPr>
          <w:rFonts w:ascii="Times New Roman" w:eastAsia="TimesLT" w:hAnsi="Times New Roman" w:cs="Times New Roman"/>
          <w:b/>
          <w:sz w:val="24"/>
          <w:szCs w:val="24"/>
        </w:rPr>
      </w:pPr>
      <w:r>
        <w:rPr>
          <w:noProof/>
        </w:rPr>
        <w:pict w14:anchorId="18982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25pt;margin-top:.3pt;width:41.65pt;height:57.9pt;z-index:251658240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701087064" r:id="rId10"/>
        </w:pict>
      </w:r>
      <w:r w:rsidR="004F0AC7" w:rsidRPr="004F19BF">
        <w:rPr>
          <w:rFonts w:ascii="TimesLT" w:eastAsia="TimesLT" w:hAnsi="TimesLT" w:cs="TimesLT"/>
          <w:b/>
        </w:rPr>
        <w:br w:type="textWrapping" w:clear="all"/>
      </w:r>
    </w:p>
    <w:p w14:paraId="18982BFD" w14:textId="77777777" w:rsidR="00D51BC6" w:rsidRPr="00D93562" w:rsidRDefault="00704971" w:rsidP="00E2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62">
        <w:rPr>
          <w:rFonts w:ascii="Times New Roman" w:eastAsia="Times New Roman" w:hAnsi="Times New Roman" w:cs="Times New Roman"/>
          <w:b/>
          <w:sz w:val="24"/>
          <w:szCs w:val="24"/>
        </w:rPr>
        <w:t>ROKIŠKIO RAJONO SAVIVALDYBĖS TARYBA</w:t>
      </w:r>
    </w:p>
    <w:p w14:paraId="18982BFE" w14:textId="77777777" w:rsidR="004F0AC7" w:rsidRPr="00D93562" w:rsidRDefault="004F0AC7" w:rsidP="00E2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82BFF" w14:textId="77777777" w:rsidR="00D51BC6" w:rsidRPr="00D93562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62">
        <w:rPr>
          <w:rFonts w:ascii="Times New Roman" w:eastAsia="Times New Roman" w:hAnsi="Times New Roman" w:cs="Times New Roman"/>
          <w:b/>
          <w:sz w:val="24"/>
          <w:szCs w:val="24"/>
        </w:rPr>
        <w:t>SPRENDIMAS</w:t>
      </w:r>
    </w:p>
    <w:p w14:paraId="18982C00" w14:textId="77777777" w:rsidR="00D51BC6" w:rsidRPr="00D93562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6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A21706" w:rsidRPr="00D93562">
        <w:rPr>
          <w:rFonts w:ascii="Times New Roman" w:eastAsia="Times New Roman" w:hAnsi="Times New Roman" w:cs="Times New Roman"/>
          <w:b/>
          <w:sz w:val="24"/>
          <w:szCs w:val="24"/>
        </w:rPr>
        <w:t>ĖL</w:t>
      </w:r>
      <w:r w:rsidR="00155105" w:rsidRPr="00D93562">
        <w:rPr>
          <w:rFonts w:ascii="Times New Roman" w:eastAsia="Times New Roman" w:hAnsi="Times New Roman" w:cs="Times New Roman"/>
          <w:b/>
          <w:sz w:val="24"/>
          <w:szCs w:val="24"/>
        </w:rPr>
        <w:t xml:space="preserve"> ROKIŠKIO RAJONO SAVIVALDYBĖS TARYBOS 2020 M. LAPKRIČIO 27 D. SPRENDIMO NR. TS-282 ,,</w:t>
      </w:r>
      <w:r w:rsidR="00912268" w:rsidRPr="00D935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5105" w:rsidRPr="00D93562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912268" w:rsidRPr="00D93562">
        <w:rPr>
          <w:rFonts w:ascii="Times New Roman" w:eastAsia="Times New Roman" w:hAnsi="Times New Roman" w:cs="Times New Roman"/>
          <w:b/>
          <w:sz w:val="24"/>
          <w:szCs w:val="24"/>
        </w:rPr>
        <w:t>SOCI</w:t>
      </w:r>
      <w:r w:rsidR="00155105" w:rsidRPr="00D93562">
        <w:rPr>
          <w:rFonts w:ascii="Times New Roman" w:eastAsia="Times New Roman" w:hAnsi="Times New Roman" w:cs="Times New Roman"/>
          <w:b/>
          <w:sz w:val="24"/>
          <w:szCs w:val="24"/>
        </w:rPr>
        <w:t xml:space="preserve">ALINIŲ PASLAUGŲ KAINŲ SUDERINIMO“ DALINIO PAKEITIMO </w:t>
      </w:r>
    </w:p>
    <w:p w14:paraId="18982C01" w14:textId="77777777" w:rsidR="00D51BC6" w:rsidRPr="00D93562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82C02" w14:textId="18CA69B1" w:rsidR="00D51BC6" w:rsidRPr="00D93562" w:rsidRDefault="00155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62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04971" w:rsidRPr="00D93562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Pr="00D93562">
        <w:rPr>
          <w:rFonts w:ascii="Times New Roman" w:eastAsia="Times New Roman" w:hAnsi="Times New Roman" w:cs="Times New Roman"/>
          <w:sz w:val="24"/>
          <w:szCs w:val="24"/>
        </w:rPr>
        <w:t xml:space="preserve"> gruodžio 23</w:t>
      </w:r>
      <w:r w:rsidR="00497E0D" w:rsidRPr="00D93562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7C5D30" w:rsidRPr="00D93562">
        <w:rPr>
          <w:rFonts w:ascii="Times New Roman" w:eastAsia="Times New Roman" w:hAnsi="Times New Roman" w:cs="Times New Roman"/>
          <w:sz w:val="24"/>
          <w:szCs w:val="24"/>
        </w:rPr>
        <w:t xml:space="preserve"> Nr. TS-</w:t>
      </w:r>
    </w:p>
    <w:p w14:paraId="18982C03" w14:textId="77777777" w:rsidR="00D51BC6" w:rsidRPr="00D93562" w:rsidRDefault="00704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62">
        <w:rPr>
          <w:rFonts w:ascii="Times New Roman" w:eastAsia="Times New Roman" w:hAnsi="Times New Roman" w:cs="Times New Roman"/>
          <w:sz w:val="24"/>
          <w:szCs w:val="24"/>
        </w:rPr>
        <w:t>Rokiškis</w:t>
      </w:r>
    </w:p>
    <w:p w14:paraId="18982C04" w14:textId="77777777" w:rsidR="00D51BC6" w:rsidRPr="00D93562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82C05" w14:textId="77777777" w:rsidR="00D51BC6" w:rsidRPr="004F19BF" w:rsidRDefault="00D51BC6" w:rsidP="0049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DCF6E" w14:textId="77777777" w:rsidR="00F84C2C" w:rsidRDefault="00704971" w:rsidP="00F84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9122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6 straipsnio 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2 dalies 37 punktu,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105">
        <w:rPr>
          <w:rFonts w:ascii="Times New Roman" w:eastAsia="Times New Roman" w:hAnsi="Times New Roman" w:cs="Times New Roman"/>
          <w:sz w:val="24"/>
          <w:szCs w:val="24"/>
        </w:rPr>
        <w:t xml:space="preserve">18 straipsnio 1 dalimi, 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>Lietuvos Respublikos</w:t>
      </w:r>
      <w:r w:rsidR="00912268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įstatymo 4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 xml:space="preserve"> straipsnio 2 dalimi,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000">
        <w:rPr>
          <w:rFonts w:ascii="Times New Roman" w:eastAsia="Times New Roman" w:hAnsi="Times New Roman" w:cs="Times New Roman"/>
          <w:sz w:val="24"/>
          <w:szCs w:val="24"/>
        </w:rPr>
        <w:t xml:space="preserve">atsižvelgdama į 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>Socialinių paslaugų finan</w:t>
      </w:r>
      <w:r w:rsidR="00912268">
        <w:rPr>
          <w:rFonts w:ascii="Times New Roman" w:eastAsia="Times New Roman" w:hAnsi="Times New Roman" w:cs="Times New Roman"/>
          <w:sz w:val="24"/>
          <w:szCs w:val="24"/>
        </w:rPr>
        <w:t xml:space="preserve">savimo ir lėšų apskaičiavimo metodikos, patvirtintos Lietuvos Respublikos Vyriausybės 2006 m. spalio 10 d. nutarimu Nr. 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>978 ,,Dėl Socialinių paslaugų finansavimo ir lėšų apskaičiavimo metodiko</w:t>
      </w:r>
      <w:r w:rsidR="00336000">
        <w:rPr>
          <w:rFonts w:ascii="Times New Roman" w:eastAsia="Times New Roman" w:hAnsi="Times New Roman" w:cs="Times New Roman"/>
          <w:sz w:val="24"/>
          <w:szCs w:val="24"/>
        </w:rPr>
        <w:t>s patvirtinimo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36000">
        <w:rPr>
          <w:rFonts w:ascii="Times New Roman" w:eastAsia="Times New Roman" w:hAnsi="Times New Roman" w:cs="Times New Roman"/>
          <w:sz w:val="24"/>
          <w:szCs w:val="24"/>
        </w:rPr>
        <w:t xml:space="preserve"> 20 ir 21 punktu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1E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>Rokiški</w:t>
      </w:r>
      <w:r w:rsidR="00155105">
        <w:rPr>
          <w:rFonts w:ascii="Times New Roman" w:eastAsia="Times New Roman" w:hAnsi="Times New Roman" w:cs="Times New Roman"/>
          <w:sz w:val="24"/>
          <w:szCs w:val="24"/>
        </w:rPr>
        <w:t>o socialinės paramos centro 2021 m. gruodžio 8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 xml:space="preserve"> raštą</w:t>
      </w:r>
      <w:r w:rsidR="00A4173E">
        <w:rPr>
          <w:rFonts w:ascii="Times New Roman" w:eastAsia="Times New Roman" w:hAnsi="Times New Roman" w:cs="Times New Roman"/>
          <w:sz w:val="24"/>
          <w:szCs w:val="24"/>
        </w:rPr>
        <w:t xml:space="preserve"> Nr. S1-619 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>,,Dėl socialinių paslaugų kainų</w:t>
      </w:r>
      <w:r w:rsidR="00155105">
        <w:rPr>
          <w:rFonts w:ascii="Times New Roman" w:eastAsia="Times New Roman" w:hAnsi="Times New Roman" w:cs="Times New Roman"/>
          <w:sz w:val="24"/>
          <w:szCs w:val="24"/>
        </w:rPr>
        <w:t xml:space="preserve"> suderinimo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44C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Rokiškio rajono savivaldybės taryba n u s p r e n d ž i a: </w:t>
      </w:r>
    </w:p>
    <w:p w14:paraId="49028DD8" w14:textId="066329A1" w:rsidR="00EE0C87" w:rsidRDefault="00F84C2C" w:rsidP="00F84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55105">
        <w:rPr>
          <w:rFonts w:ascii="Times New Roman" w:eastAsia="Times New Roman" w:hAnsi="Times New Roman" w:cs="Times New Roman"/>
          <w:sz w:val="24"/>
          <w:szCs w:val="24"/>
        </w:rPr>
        <w:t>Pakeist</w:t>
      </w:r>
      <w:bookmarkStart w:id="0" w:name="_GoBack"/>
      <w:bookmarkEnd w:id="0"/>
      <w:r w:rsidR="00155105">
        <w:rPr>
          <w:rFonts w:ascii="Times New Roman" w:eastAsia="Times New Roman" w:hAnsi="Times New Roman" w:cs="Times New Roman"/>
          <w:sz w:val="24"/>
          <w:szCs w:val="24"/>
        </w:rPr>
        <w:t>i Rokiškio rajono savivaldybės tarybos 2020 m. lapkričio 27 d. sprendimo Nr. TS-282 ,,Dėl Socialinių pasla</w:t>
      </w:r>
      <w:r w:rsidR="0081169B">
        <w:rPr>
          <w:rFonts w:ascii="Times New Roman" w:eastAsia="Times New Roman" w:hAnsi="Times New Roman" w:cs="Times New Roman"/>
          <w:sz w:val="24"/>
          <w:szCs w:val="24"/>
        </w:rPr>
        <w:t>ugų kainų suderinimo</w:t>
      </w:r>
      <w:r w:rsidR="00086B5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1169B">
        <w:rPr>
          <w:rFonts w:ascii="Times New Roman" w:eastAsia="Times New Roman" w:hAnsi="Times New Roman" w:cs="Times New Roman"/>
          <w:sz w:val="24"/>
          <w:szCs w:val="24"/>
        </w:rPr>
        <w:t xml:space="preserve"> 1 priedą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(pridedama).</w:t>
      </w:r>
    </w:p>
    <w:p w14:paraId="18982C08" w14:textId="4C8037B0" w:rsidR="00464EA2" w:rsidRPr="00683A8D" w:rsidRDefault="00683A8D" w:rsidP="00683A8D">
      <w:pPr>
        <w:pStyle w:val="Betarp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5105">
        <w:rPr>
          <w:rFonts w:ascii="Times New Roman" w:eastAsia="Times New Roman" w:hAnsi="Times New Roman" w:cs="Times New Roman"/>
          <w:sz w:val="24"/>
          <w:szCs w:val="24"/>
        </w:rPr>
        <w:t>Skelbti šį sprendimą Teisės aktų registre.</w:t>
      </w:r>
    </w:p>
    <w:p w14:paraId="18982C09" w14:textId="77777777" w:rsidR="00D51BC6" w:rsidRPr="001B7A54" w:rsidRDefault="001B7A54" w:rsidP="00E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Šis sprendimas per vieną mėnesį </w:t>
      </w:r>
      <w:r w:rsidR="001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gali būti skundžiamas Regionų apygardos administraciniam teismui, skundą (prašymą) paduodant bet kuriuose šio teismo rūmuose, Lietuvos </w:t>
      </w:r>
      <w:r w:rsidRPr="001B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Respublikos administracinių bylų teisenos įstatymo nustatyta tvarka</w:t>
      </w:r>
      <w:r w:rsidRPr="001B7A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982C0A" w14:textId="77777777" w:rsidR="00D51BC6" w:rsidRPr="001B7A54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82C0B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82C0C" w14:textId="77777777" w:rsidR="00D51BC6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82C0D" w14:textId="77777777" w:rsidR="00E213CC" w:rsidRPr="004F19BF" w:rsidRDefault="00E213CC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82C0E" w14:textId="77777777" w:rsidR="00D51BC6" w:rsidRPr="004F19BF" w:rsidRDefault="00704971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124253"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Ramūnas </w:t>
      </w:r>
      <w:r w:rsidR="00497E0D" w:rsidRPr="004F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>Godeliauskas</w:t>
      </w:r>
    </w:p>
    <w:p w14:paraId="18982C0F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82C10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82C11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82C12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82C13" w14:textId="77777777" w:rsidR="00D51BC6" w:rsidRPr="004F19BF" w:rsidRDefault="00D51BC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18982C14" w14:textId="77777777" w:rsidR="00411D5E" w:rsidRPr="004F19BF" w:rsidRDefault="00411D5E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18982C15" w14:textId="77777777" w:rsidR="00411D5E" w:rsidRPr="004F19BF" w:rsidRDefault="00411D5E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18982C16" w14:textId="77777777" w:rsidR="00D51BC6" w:rsidRDefault="00D51BC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18982C17" w14:textId="77777777" w:rsidR="00E213CC" w:rsidRDefault="00E213C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18982C18" w14:textId="77777777" w:rsidR="00E213CC" w:rsidRPr="004F19BF" w:rsidRDefault="00E213C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18982C19" w14:textId="77777777" w:rsidR="00CE782C" w:rsidRPr="004F19BF" w:rsidRDefault="00CE782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18982C1A" w14:textId="77777777" w:rsidR="00CE782C" w:rsidRDefault="00CE782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18982C1B" w14:textId="77777777" w:rsidR="00A679EC" w:rsidRPr="004F19BF" w:rsidRDefault="00A679E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18982C1C" w14:textId="77777777" w:rsidR="00CE782C" w:rsidRPr="004F19BF" w:rsidRDefault="00CE782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18982C1D" w14:textId="77777777" w:rsidR="00155105" w:rsidRDefault="0015510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18982C1E" w14:textId="77777777" w:rsidR="00EF091E" w:rsidRPr="004F19BF" w:rsidRDefault="00553755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Zita Čaplikienė</w:t>
      </w:r>
    </w:p>
    <w:p w14:paraId="18982C1F" w14:textId="77777777" w:rsidR="007C5D30" w:rsidRPr="004F19BF" w:rsidRDefault="007C5D30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6D579F81" w14:textId="77777777" w:rsidR="00F84C2C" w:rsidRDefault="00F84C2C" w:rsidP="0073171F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44B63" w14:textId="77777777" w:rsidR="0073171F" w:rsidRDefault="0073171F" w:rsidP="0073171F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Rokiškio rajono savivaldybės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tarybos </w:t>
      </w:r>
    </w:p>
    <w:p w14:paraId="4D4CFE9D" w14:textId="77777777" w:rsidR="0073171F" w:rsidRDefault="0073171F" w:rsidP="0073171F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m. gruodžio 23 d. sprendimo</w:t>
      </w: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TS- </w:t>
      </w: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DD0AB5F" w14:textId="77777777" w:rsidR="0073171F" w:rsidRDefault="0073171F" w:rsidP="0073171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priedas</w:t>
      </w:r>
    </w:p>
    <w:p w14:paraId="694B2949" w14:textId="77777777" w:rsidR="0073171F" w:rsidRDefault="0073171F" w:rsidP="0073171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BC431" w14:textId="77777777" w:rsidR="0073171F" w:rsidRPr="00C335C4" w:rsidRDefault="0073171F" w:rsidP="0073171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C4">
        <w:rPr>
          <w:rFonts w:ascii="Times New Roman" w:hAnsi="Times New Roman" w:cs="Times New Roman"/>
          <w:b/>
          <w:sz w:val="24"/>
          <w:szCs w:val="24"/>
        </w:rPr>
        <w:t>ROKIŠKIO SOCIALINĖS PARAMOS CENTRO TEIKIAMŲ</w:t>
      </w:r>
    </w:p>
    <w:p w14:paraId="3E224A24" w14:textId="77777777" w:rsidR="0073171F" w:rsidRDefault="0073171F" w:rsidP="0073171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C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OCIALINIŲ PASLAUGŲ KAINOS</w:t>
      </w:r>
    </w:p>
    <w:p w14:paraId="448325B6" w14:textId="77777777" w:rsidR="0073171F" w:rsidRPr="00C335C4" w:rsidRDefault="0073171F" w:rsidP="0073171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AA0C3" w14:textId="1B868617" w:rsidR="0073171F" w:rsidRPr="00A4173E" w:rsidRDefault="0073171F" w:rsidP="00077106">
      <w:pPr>
        <w:pStyle w:val="Sraopastraipa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SOCIALINĖS PASLAUGOS</w:t>
      </w:r>
    </w:p>
    <w:p w14:paraId="28065D64" w14:textId="77777777" w:rsidR="0073171F" w:rsidRPr="00A4173E" w:rsidRDefault="0073171F" w:rsidP="00F84C2C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2257"/>
        <w:gridCol w:w="2533"/>
        <w:gridCol w:w="4290"/>
      </w:tblGrid>
      <w:tr w:rsidR="0073171F" w:rsidRPr="00A4173E" w14:paraId="52E67821" w14:textId="77777777" w:rsidTr="003D0179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9853F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Eil. </w:t>
            </w:r>
            <w:r w:rsidRPr="00A417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Nr.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9730B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Paslaugos pavadinimas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F2678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Paslaugos teikimo norma/trukmė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DF38949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Paslaugos kaina</w:t>
            </w:r>
          </w:p>
        </w:tc>
      </w:tr>
      <w:tr w:rsidR="0073171F" w:rsidRPr="00A4173E" w14:paraId="7D0FA211" w14:textId="77777777" w:rsidTr="003D0179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B762F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1CE00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Informavimas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8C99E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Vienkartinė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4FB704A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Nemokama</w:t>
            </w:r>
          </w:p>
        </w:tc>
      </w:tr>
      <w:tr w:rsidR="0073171F" w:rsidRPr="00A4173E" w14:paraId="6CCA5096" w14:textId="77777777" w:rsidTr="003D0179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9688D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CC529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Konsultavimas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48ADD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Iki problemos išsprendimo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6B01960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Nemokama</w:t>
            </w:r>
          </w:p>
        </w:tc>
      </w:tr>
      <w:tr w:rsidR="0073171F" w:rsidRPr="00A4173E" w14:paraId="4676482B" w14:textId="77777777" w:rsidTr="003D0179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28D18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B9C46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Tarpininkavimas ir atstovavimas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256F901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Iki problemos išsprendimo</w:t>
            </w:r>
          </w:p>
          <w:p w14:paraId="1D9B7175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6F5C6407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Nemokama</w:t>
            </w:r>
          </w:p>
        </w:tc>
      </w:tr>
      <w:tr w:rsidR="0073171F" w:rsidRPr="00A4173E" w14:paraId="0C6CE7E4" w14:textId="77777777" w:rsidTr="003D0179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B7B8D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B993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Transporto paslaugų organizavimas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EFEB7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Pagal poreikį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2C7E82CE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0,75 Eur/km</w:t>
            </w:r>
          </w:p>
        </w:tc>
      </w:tr>
      <w:tr w:rsidR="0073171F" w:rsidRPr="00A4173E" w14:paraId="48E6F9F5" w14:textId="77777777" w:rsidTr="003D0179">
        <w:trPr>
          <w:trHeight w:val="201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8BB24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03F73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Asmeninės higienos ir priežiūros paslaugų organizavimas:</w:t>
            </w:r>
          </w:p>
          <w:p w14:paraId="778F03C7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skalbimo paslauga</w:t>
            </w:r>
          </w:p>
          <w:p w14:paraId="4490E3CD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prausimasis duše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58008B7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DB14C5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B89D90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kartas</w:t>
            </w:r>
          </w:p>
          <w:p w14:paraId="4B81688A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kartas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E945E0F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93CD0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EFD2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3995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F15B" w14:textId="6C785846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1,40 Eur (-5kg)</w:t>
            </w:r>
          </w:p>
          <w:p w14:paraId="76BBFD02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2479" w14:textId="5FDF7136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1,50 Eur (1 kartas – 0,5 val.)</w:t>
            </w:r>
          </w:p>
          <w:p w14:paraId="2C11FB6B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1F" w:rsidRPr="00A4173E" w14:paraId="5BA3B20E" w14:textId="77777777" w:rsidTr="00323E38">
        <w:trPr>
          <w:trHeight w:val="72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0100DC9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EDB36E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Kitos bendrosios socialinės paslaugos (socialinės paslaugos, organizuojamos į specifinius savivaldybės gyventojų  poreikius)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40973E1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Pagal poreikį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E51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5C2928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 3,47 Eur/1 val.</w:t>
            </w:r>
          </w:p>
        </w:tc>
      </w:tr>
    </w:tbl>
    <w:p w14:paraId="31F2AAB7" w14:textId="16B4038C" w:rsidR="0073171F" w:rsidRPr="00F26C9C" w:rsidRDefault="0073171F" w:rsidP="00077106">
      <w:pPr>
        <w:pStyle w:val="Sraopastraipa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SPECIALIOSIOS SOCIALINĖS PASLAUGOS</w:t>
      </w: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244"/>
        <w:gridCol w:w="1441"/>
        <w:gridCol w:w="1418"/>
        <w:gridCol w:w="1417"/>
        <w:gridCol w:w="1949"/>
      </w:tblGrid>
      <w:tr w:rsidR="0073171F" w:rsidRPr="00A4173E" w14:paraId="300879B3" w14:textId="77777777" w:rsidTr="00323E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E9F9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Socialinės paslaugos rūšis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D7D7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Socialinių paslaugų gavėjai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98A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Bendroji lėšų dalis (BLD)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9316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Kintamoji lėšų dalis (KLD)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5F34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Socialinės paslaugos kaina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07D0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Rokiškio socialinės paramos centro padalinys</w:t>
            </w:r>
          </w:p>
        </w:tc>
      </w:tr>
      <w:tr w:rsidR="00F84C2C" w:rsidRPr="00A4173E" w14:paraId="15F17193" w14:textId="77777777" w:rsidTr="00FF70A8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19846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BA3E0" w14:textId="77777777" w:rsidR="00F84C2C" w:rsidRPr="00A4173E" w:rsidRDefault="00F84C2C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 Pagalba į namus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982C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Senyvo amžiaus asmenys suaugę asmenys su negalia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BAFB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3B4E17B6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6381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  <w:p w14:paraId="4A262328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8076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  <w:p w14:paraId="378FFAEC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9F139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7E81C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B8FE0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Socialinių paslaugų namuose </w:t>
            </w:r>
          </w:p>
          <w:p w14:paraId="3D2029D4" w14:textId="430B8C72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padalinys </w:t>
            </w:r>
          </w:p>
        </w:tc>
      </w:tr>
      <w:tr w:rsidR="00F84C2C" w:rsidRPr="00A4173E" w14:paraId="16F26B2A" w14:textId="77777777" w:rsidTr="00FF70A8">
        <w:trPr>
          <w:trHeight w:val="44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ED9C9" w14:textId="77777777" w:rsidR="00F84C2C" w:rsidRPr="00A4173E" w:rsidRDefault="00F84C2C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D580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Vaikai su negalia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7567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5620CB74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1594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  <w:p w14:paraId="408AB2F2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C223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  <w:p w14:paraId="25C7727D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FDA9B" w14:textId="2DB44158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A4173E" w14:paraId="5856EC78" w14:textId="77777777" w:rsidTr="00FF70A8">
        <w:trPr>
          <w:trHeight w:val="115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F1A9" w14:textId="77777777" w:rsidR="00F84C2C" w:rsidRPr="00A4173E" w:rsidRDefault="00F84C2C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8540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Kiti asmenys, </w:t>
            </w:r>
          </w:p>
          <w:p w14:paraId="1814E492" w14:textId="1E02DECA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laikinai netekę savarankiškumo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A6A1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74917866" w14:textId="0D1E5D3C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92D9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  <w:p w14:paraId="0BC4C636" w14:textId="34015E55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D502" w14:textId="77777777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  <w:p w14:paraId="16F4C17D" w14:textId="5563653F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90E8" w14:textId="6C80FA5E" w:rsidR="00F84C2C" w:rsidRPr="00A4173E" w:rsidRDefault="00F84C2C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EB" w:rsidRPr="00A4173E" w14:paraId="12C1BF0B" w14:textId="77777777" w:rsidTr="00E45072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ECE3D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D966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2CC5C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C901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Dienos socialinė globa</w:t>
            </w:r>
          </w:p>
          <w:p w14:paraId="79D9F9A9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(namuose)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C17B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Senyvo amžiaus asmenys ir suaugę asmenys su negalia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538B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4973B664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EB53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  <w:p w14:paraId="77D8B68D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3289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  <w:p w14:paraId="66FFA096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08D21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327BF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88E7E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F7C40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E5C20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E5EE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Socialinių paslaugų namuose padalinys</w:t>
            </w:r>
          </w:p>
        </w:tc>
      </w:tr>
      <w:tr w:rsidR="008A46EB" w:rsidRPr="00A4173E" w14:paraId="49207D04" w14:textId="77777777" w:rsidTr="00E45072">
        <w:trPr>
          <w:trHeight w:val="171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AD74C" w14:textId="77777777" w:rsidR="008A46EB" w:rsidRPr="00A4173E" w:rsidRDefault="008A46EB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154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Senyvo amžiaus  asmenys su sunkia negalia ir suaugę asmenys su sunkia negalia</w:t>
            </w:r>
          </w:p>
          <w:p w14:paraId="3ED49A8E" w14:textId="01DB3EAA" w:rsidR="008A46EB" w:rsidRPr="00A4173E" w:rsidRDefault="008A46EB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A94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36B4DD88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  <w:p w14:paraId="53A3775B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CCCE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BC026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B2B0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0306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  <w:p w14:paraId="6F63C509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  <w:p w14:paraId="618ACB86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ECB31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E5C6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5C415" w14:textId="284A9492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766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  <w:p w14:paraId="6F8FF1DD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  <w:p w14:paraId="003E9503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752F4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643B0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FCD8" w14:textId="13ADB781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3C3EE" w14:textId="77777777" w:rsidR="008A46EB" w:rsidRPr="00A4173E" w:rsidRDefault="008A46EB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6EB" w:rsidRPr="00A4173E" w14:paraId="1464B51E" w14:textId="77777777" w:rsidTr="00E45072">
        <w:trPr>
          <w:trHeight w:val="123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80E" w14:textId="77777777" w:rsidR="008A46EB" w:rsidRPr="00A4173E" w:rsidRDefault="008A46EB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B2F" w14:textId="5F274DA9" w:rsidR="008A46EB" w:rsidRPr="00A4173E" w:rsidRDefault="008A46EB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Vaikų su sunkia negalia ir jų šeimos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F8A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B4E87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26307260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  <w:p w14:paraId="08ED9BB6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27C2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43C41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  <w:p w14:paraId="1E7B3C3B" w14:textId="5788705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Eur/val.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962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5C67E" w14:textId="77777777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  <w:p w14:paraId="78C2763A" w14:textId="169CAD36" w:rsidR="008A46EB" w:rsidRPr="00A4173E" w:rsidRDefault="008A46EB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Eur./</w:t>
            </w:r>
            <w:proofErr w:type="spellStart"/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8442" w14:textId="77777777" w:rsidR="008A46EB" w:rsidRPr="00A4173E" w:rsidRDefault="008A46EB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71F" w:rsidRPr="00A4173E" w14:paraId="56DFB074" w14:textId="77777777" w:rsidTr="00323E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F085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Socialinių įgūdžių ugdymo, palaikymo </w:t>
            </w:r>
            <w:proofErr w:type="spellStart"/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ir(ar</w:t>
            </w:r>
            <w:proofErr w:type="spellEnd"/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) atkūrimo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801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Asmenys su negalia</w:t>
            </w:r>
          </w:p>
          <w:p w14:paraId="2205913E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B7D0" w14:textId="77777777" w:rsidR="0073171F" w:rsidRPr="00A4173E" w:rsidRDefault="0073171F" w:rsidP="00F84C2C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A8F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080B8B2E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Eur./</w:t>
            </w:r>
            <w:proofErr w:type="spellStart"/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  <w:p w14:paraId="3DE72546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DC5CB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9F502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15A8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  <w:p w14:paraId="0070B643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Eur./</w:t>
            </w:r>
            <w:proofErr w:type="spellStart"/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  <w:p w14:paraId="7F0CCED9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68F9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ED81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78F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  <w:p w14:paraId="4AD56D8B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Eur./</w:t>
            </w:r>
            <w:proofErr w:type="spellStart"/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  <w:p w14:paraId="78D84A1B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FDB22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65B6D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47A6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Socialinių įgūdžių ugdymo ir palaikymo dienos centras </w:t>
            </w:r>
          </w:p>
        </w:tc>
      </w:tr>
      <w:tr w:rsidR="0073171F" w:rsidRPr="00A4173E" w14:paraId="72FA92F8" w14:textId="77777777" w:rsidTr="00323E38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370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5C9A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Dienos </w:t>
            </w:r>
            <w:proofErr w:type="spellStart"/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soc.globa</w:t>
            </w:r>
            <w:proofErr w:type="spellEnd"/>
          </w:p>
          <w:p w14:paraId="02A23C6B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(institucijoje)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7864" w14:textId="50CF1B62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Asmenys su negalia</w:t>
            </w:r>
            <w:r w:rsidR="00F8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(su maitinimu)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4B8D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194E4C0C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2A72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  <w:p w14:paraId="79113931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0EA7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  <w:p w14:paraId="435AEE44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921" w14:textId="586A5753" w:rsidR="0073171F" w:rsidRPr="00A4173E" w:rsidRDefault="0073171F" w:rsidP="008A46E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Dienos </w:t>
            </w:r>
            <w:r w:rsidR="008A46EB" w:rsidRPr="00A4173E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="008A46EB">
              <w:rPr>
                <w:rFonts w:ascii="Times New Roman" w:hAnsi="Times New Roman" w:cs="Times New Roman"/>
                <w:sz w:val="24"/>
                <w:szCs w:val="24"/>
              </w:rPr>
              <w:t>ialinė</w:t>
            </w:r>
            <w:r w:rsidR="008A46EB"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globa </w:t>
            </w:r>
          </w:p>
        </w:tc>
      </w:tr>
      <w:tr w:rsidR="0073171F" w:rsidRPr="00A4173E" w14:paraId="56C4E488" w14:textId="77777777" w:rsidTr="00323E3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25D7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6854" w14:textId="77777777" w:rsidR="00F84C2C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Asmenys su sunkia negalia</w:t>
            </w:r>
            <w:r w:rsidR="00F8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E95265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(su maitinimu)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A363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14:paraId="4B2AFDBB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D702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  <w:p w14:paraId="10C94D08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F590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  <w:p w14:paraId="41855DFE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 /val.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BA75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71F" w:rsidRPr="00A4173E" w14:paraId="63AB4B1B" w14:textId="77777777" w:rsidTr="00323E38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0ED" w14:textId="0B611D4F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C170B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Apgyvendinimas savarankiškuose gyvenimo namuose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689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Socialinę riziką patiriantys asmenys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AFB0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201,32</w:t>
            </w:r>
          </w:p>
          <w:p w14:paraId="14A9B0B8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406F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467,86</w:t>
            </w:r>
          </w:p>
          <w:p w14:paraId="44CDC800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Eur/mėn.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9480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669,18 Eur/mėn.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694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3876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BF4A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Obelių savarankiško gyvenimo namai</w:t>
            </w:r>
          </w:p>
        </w:tc>
      </w:tr>
      <w:tr w:rsidR="0073171F" w:rsidRPr="00A4173E" w14:paraId="1C6DCD97" w14:textId="77777777" w:rsidTr="00323E3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2C41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88E4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Senyvo amžiaus asmenys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4D0B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201,32 Eur/mėn.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A45F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467,86 Eur/mėn.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9048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669,18 Eur/mėn.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BD60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71F" w:rsidRPr="00A4173E" w14:paraId="599FFD41" w14:textId="77777777" w:rsidTr="00323E3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D8CC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D3C4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Suaugę asmenys su fizine negalia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CEE3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201,32 Eur/mėn.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9548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467,86 Eur/mėn.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DB8C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669,18 Eur/mėn.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7562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71F" w:rsidRPr="00A4173E" w14:paraId="4CD2F1D6" w14:textId="77777777" w:rsidTr="00323E38">
        <w:trPr>
          <w:trHeight w:val="71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97B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185FD8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941F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C3B02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Dienos socialinė globa</w:t>
            </w:r>
          </w:p>
          <w:p w14:paraId="61B09C15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Trumpalaikė socialinė globa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1B6B" w14:textId="77777777" w:rsidR="00F84C2C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Senyvo amžiaus asmenys</w:t>
            </w:r>
          </w:p>
          <w:p w14:paraId="4F60C218" w14:textId="137E542F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(su maitinimu)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0535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201,32 Eur/mėn.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B112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1028,32 Eur/mėn.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F22E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1229,64 Eur/mėn.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51B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9C0D8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7F59C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64507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Jūžintų dienos ir trumpalaikės socialinės globos centras</w:t>
            </w:r>
          </w:p>
        </w:tc>
      </w:tr>
      <w:tr w:rsidR="0073171F" w:rsidRPr="00A4173E" w14:paraId="720DBA22" w14:textId="77777777" w:rsidTr="00323E3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85D8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39C8" w14:textId="77777777" w:rsidR="00F84C2C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Suaugę asmenys su negalia </w:t>
            </w:r>
          </w:p>
          <w:p w14:paraId="03DF86EA" w14:textId="1C659C0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(su maitinimu)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7183" w14:textId="77777777" w:rsidR="0073171F" w:rsidRPr="00A4173E" w:rsidRDefault="0073171F" w:rsidP="00F84C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201,32 Eur/mėn.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7267" w14:textId="77777777" w:rsidR="0073171F" w:rsidRPr="00A4173E" w:rsidRDefault="0073171F" w:rsidP="00F84C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1028,32 Eur/mėn.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9BA9" w14:textId="77777777" w:rsidR="0073171F" w:rsidRPr="00A4173E" w:rsidRDefault="0073171F" w:rsidP="00F84C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1229,64 Eur/mėn.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4563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71F" w:rsidRPr="00A4173E" w14:paraId="0883B50F" w14:textId="77777777" w:rsidTr="00323E3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9C05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8174" w14:textId="77777777" w:rsidR="00F84C2C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Senyvo amžiaus asmenys su sunkia negalia ir suaugę asmenys su sunkia negalia </w:t>
            </w:r>
          </w:p>
          <w:p w14:paraId="1330346D" w14:textId="30B5E881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(su maitinimu)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ED73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201,32 Eur/mėn.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22EE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1319,61Eur/mėn.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C93F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1520,93 Eur/mėn.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45FD" w14:textId="77777777" w:rsidR="0073171F" w:rsidRPr="00A4173E" w:rsidRDefault="0073171F" w:rsidP="00F84C2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71F" w:rsidRPr="00A4173E" w14:paraId="79B5DCB1" w14:textId="77777777" w:rsidTr="00323E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B221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Laikino atokvėpio</w:t>
            </w:r>
          </w:p>
          <w:p w14:paraId="1E4F5FE0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D94" w14:textId="5B8EE530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Senyvo amžiaus ir suaugę su negalia (su maitinimu)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625D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6,71 Eur/parą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D54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34,28 Eur/parą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4DA9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40,99 Eur/parą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26AF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Jūžintų dienos ir trumpalaikės socialinės globos centras</w:t>
            </w:r>
          </w:p>
        </w:tc>
      </w:tr>
      <w:tr w:rsidR="0073171F" w:rsidRPr="00A4173E" w14:paraId="74F615ED" w14:textId="77777777" w:rsidTr="00323E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5954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Laikino atokvėpio paslauga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BC10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Senyvo amžiaus ir suaugę su negalia (be maitinimo)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95C4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6,71 Eur/parą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65E1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30,98 Eur/parą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553B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37,69 Eur/parą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B93D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Jūžintų dienos ir trumpalaikės socialinės globos </w:t>
            </w:r>
            <w:r w:rsidRPr="00A4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centras</w:t>
            </w:r>
          </w:p>
        </w:tc>
      </w:tr>
      <w:tr w:rsidR="0073171F" w:rsidRPr="00A4173E" w14:paraId="1FD6D3FF" w14:textId="77777777" w:rsidTr="00323E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0ADA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Laikino atokvėpio paslauga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596D" w14:textId="77777777" w:rsidR="00F84C2C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Senyvo amžiaus asmenys su sunkia negalia </w:t>
            </w:r>
          </w:p>
          <w:p w14:paraId="59111A72" w14:textId="2CA26F29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(su maitinimu)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6BAC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  <w:p w14:paraId="5C9F5A4F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Eur/parą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64B6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43,99</w:t>
            </w:r>
          </w:p>
          <w:p w14:paraId="221C8471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Eur/parą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B33A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50,70 Eur/parą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92F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Jūžintų dienos ir trumpalaikės socialinės globos centras</w:t>
            </w:r>
          </w:p>
        </w:tc>
      </w:tr>
      <w:tr w:rsidR="0073171F" w:rsidRPr="00A4173E" w14:paraId="08F8E6AE" w14:textId="77777777" w:rsidTr="00323E3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A1E6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Laikino atokvėpio paslauga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3316" w14:textId="77777777" w:rsidR="00F84C2C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 xml:space="preserve">Senyvo amžiaus asmenys su sunkia negalia </w:t>
            </w:r>
          </w:p>
          <w:p w14:paraId="1442BA3E" w14:textId="06A7BFDE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(be maitinimo)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8D26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6,71 Eur/parą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E697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40,69 Eur/parą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E507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47,40 Eur/parą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23E6" w14:textId="77777777" w:rsidR="0073171F" w:rsidRPr="00A4173E" w:rsidRDefault="0073171F" w:rsidP="00F84C2C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E">
              <w:rPr>
                <w:rFonts w:ascii="Times New Roman" w:hAnsi="Times New Roman" w:cs="Times New Roman"/>
                <w:sz w:val="24"/>
                <w:szCs w:val="24"/>
              </w:rPr>
              <w:t>Jūžintų dienos ir trumpalaikės socialinės globos centras</w:t>
            </w:r>
          </w:p>
        </w:tc>
      </w:tr>
    </w:tbl>
    <w:p w14:paraId="4FB6568F" w14:textId="77777777" w:rsidR="0073171F" w:rsidRPr="00A4173E" w:rsidRDefault="0073171F" w:rsidP="00F84C2C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21239261" w14:textId="12F8C197" w:rsidR="0073171F" w:rsidRDefault="0073171F" w:rsidP="00F84C2C">
      <w:pPr>
        <w:pStyle w:val="Betarp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73E">
        <w:rPr>
          <w:rFonts w:ascii="Times New Roman" w:hAnsi="Times New Roman" w:cs="Times New Roman"/>
          <w:sz w:val="24"/>
          <w:szCs w:val="24"/>
        </w:rPr>
        <w:t>Maitinimo išlaidos Jūžintų dienos ir trumpalaikės socialinės glo</w:t>
      </w:r>
      <w:r>
        <w:rPr>
          <w:rFonts w:ascii="Times New Roman" w:hAnsi="Times New Roman" w:cs="Times New Roman"/>
          <w:sz w:val="24"/>
          <w:szCs w:val="24"/>
        </w:rPr>
        <w:t>bos centre 1 dienai – 3,30 Eur.</w:t>
      </w:r>
    </w:p>
    <w:p w14:paraId="18982D41" w14:textId="60049321" w:rsidR="00AC6DC1" w:rsidRPr="008A46EB" w:rsidRDefault="008A46EB" w:rsidP="008A46EB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982D42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3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4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5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6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7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8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9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A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B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C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D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E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4F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0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1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2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3" w14:textId="77777777"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4" w14:textId="77777777"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5" w14:textId="77777777"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6" w14:textId="77777777"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7" w14:textId="77777777"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8" w14:textId="77777777"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9" w14:textId="77777777" w:rsidR="00C3588E" w:rsidRDefault="00C3588E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3A27B" w14:textId="77777777" w:rsidR="00F84C2C" w:rsidRDefault="00F84C2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D2A52" w14:textId="77777777" w:rsidR="00F84C2C" w:rsidRDefault="00F84C2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4D32E6" w14:textId="77777777" w:rsidR="00F84C2C" w:rsidRDefault="00F84C2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69AB6" w14:textId="77777777" w:rsidR="00F84C2C" w:rsidRDefault="00F84C2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8A2D61" w14:textId="77777777" w:rsidR="00F84C2C" w:rsidRDefault="00F84C2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FBC66B" w14:textId="77777777" w:rsidR="00F84C2C" w:rsidRDefault="00F84C2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F7CB17" w14:textId="77777777" w:rsidR="00F84C2C" w:rsidRDefault="00F84C2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37117D" w14:textId="77777777" w:rsidR="00F84C2C" w:rsidRDefault="00F84C2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6C3F8" w14:textId="77777777" w:rsidR="00F84C2C" w:rsidRDefault="00F84C2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8FFF3" w14:textId="77777777" w:rsidR="00F84C2C" w:rsidRDefault="00F84C2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3FD4AF" w14:textId="77777777" w:rsidR="00F84C2C" w:rsidRDefault="00F84C2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A" w14:textId="77777777" w:rsidR="00B42B7F" w:rsidRDefault="00B42B7F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B" w14:textId="77777777" w:rsidR="00E213CC" w:rsidRDefault="00E213CC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C" w14:textId="77777777" w:rsidR="00C335C4" w:rsidRDefault="00C335C4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D" w14:textId="77777777" w:rsidR="00A010FA" w:rsidRDefault="00A010FA" w:rsidP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5E" w14:textId="77777777" w:rsidR="00124CD2" w:rsidRPr="004F19BF" w:rsidRDefault="00124CD2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>Rokiškio rajono savivaldybės tarybai</w:t>
      </w:r>
    </w:p>
    <w:p w14:paraId="18982D5F" w14:textId="77777777" w:rsidR="00DF40CE" w:rsidRPr="004F19BF" w:rsidRDefault="00450111" w:rsidP="00DF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TEIKIAMO SPRENDIMO PROJEKTO  ,,DĖL ROKIŠKIO RAJONO SAVIVALDYBĖS TARYBOS  2020 M. LAPKRIČIO 27 D. SPRENDIMO NR. TS-282 ,,DĖL SOCIALINIŲ PASLAUGŲ KAINŲ SUDERINIMO‘‘ </w:t>
      </w:r>
      <w:r w:rsidR="00DF40CE" w:rsidRPr="004F19BF">
        <w:rPr>
          <w:rFonts w:ascii="Times New Roman" w:eastAsia="Times New Roman" w:hAnsi="Times New Roman" w:cs="Times New Roman"/>
          <w:b/>
          <w:sz w:val="24"/>
          <w:szCs w:val="24"/>
        </w:rPr>
        <w:t xml:space="preserve"> AIŠKINAMASIS RAŠTAS</w:t>
      </w:r>
    </w:p>
    <w:p w14:paraId="18982D60" w14:textId="77777777" w:rsidR="00124CD2" w:rsidRPr="004F19BF" w:rsidRDefault="00124CD2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82D61" w14:textId="77777777" w:rsidR="00124CD2" w:rsidRPr="004F19BF" w:rsidRDefault="00DF40CE" w:rsidP="00124CD2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48FF"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Parengto projekto tikslai ir uždaviniai.</w:t>
      </w:r>
      <w:r w:rsidR="005643B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 xml:space="preserve">atvirtinti Rokiškio rajono savivaldybės tarybos </w:t>
      </w:r>
      <w:r w:rsidR="00450111">
        <w:rPr>
          <w:rFonts w:ascii="Times New Roman" w:eastAsia="Times New Roman" w:hAnsi="Times New Roman" w:cs="Times New Roman"/>
          <w:sz w:val="24"/>
          <w:szCs w:val="24"/>
        </w:rPr>
        <w:t xml:space="preserve">2020 m. lapkričio 27 d. sprendimo Nr. TS-282 ,,Dėl  </w:t>
      </w:r>
      <w:r w:rsidR="00061EF9">
        <w:rPr>
          <w:rFonts w:ascii="Times New Roman" w:eastAsia="Times New Roman" w:hAnsi="Times New Roman" w:cs="Times New Roman"/>
          <w:sz w:val="24"/>
          <w:szCs w:val="24"/>
        </w:rPr>
        <w:t>socialinių paslaugų kainų suderinimo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50111">
        <w:rPr>
          <w:rFonts w:ascii="Times New Roman" w:eastAsia="Times New Roman" w:hAnsi="Times New Roman" w:cs="Times New Roman"/>
          <w:sz w:val="24"/>
          <w:szCs w:val="24"/>
        </w:rPr>
        <w:t xml:space="preserve"> dalinį pakeitimą</w:t>
      </w:r>
      <w:r w:rsidR="008778BE" w:rsidRPr="004F1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82D62" w14:textId="77777777" w:rsidR="00124CD2" w:rsidRPr="004F19BF" w:rsidRDefault="00DF40CE" w:rsidP="00124CD2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48FF"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Šiuo metu esantis teisinis reglamentavimas</w:t>
      </w:r>
      <w:r w:rsidR="00061EF9">
        <w:rPr>
          <w:rFonts w:ascii="Times New Roman" w:eastAsia="Times New Roman" w:hAnsi="Times New Roman" w:cs="Times New Roman"/>
          <w:sz w:val="24"/>
          <w:szCs w:val="24"/>
        </w:rPr>
        <w:t xml:space="preserve"> Lietuvos Respublikos Vyriausybės nutarimas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 xml:space="preserve"> ,,Dėl Socialinių paslaugų finansavimo ir lėšų apskaičiavimo metodikos patvirtinimo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16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82D63" w14:textId="617B5B0C" w:rsidR="00E05FE6" w:rsidRPr="003B7718" w:rsidRDefault="00DF40CE" w:rsidP="00E0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Sprendimo projekto esmė.</w:t>
      </w:r>
      <w:r w:rsid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111">
        <w:rPr>
          <w:rFonts w:ascii="Times New Roman" w:eastAsia="Times New Roman" w:hAnsi="Times New Roman" w:cs="Times New Roman"/>
          <w:sz w:val="24"/>
          <w:szCs w:val="24"/>
        </w:rPr>
        <w:t>Rokiškio socialinės paramos centras nuo 2022 m. pradeda teikti naują socialinę</w:t>
      </w:r>
      <w:r w:rsidR="005343A8">
        <w:rPr>
          <w:rFonts w:ascii="Times New Roman" w:eastAsia="Times New Roman" w:hAnsi="Times New Roman" w:cs="Times New Roman"/>
          <w:sz w:val="24"/>
          <w:szCs w:val="24"/>
        </w:rPr>
        <w:t xml:space="preserve"> globos</w:t>
      </w:r>
      <w:r w:rsidR="00450111">
        <w:rPr>
          <w:rFonts w:ascii="Times New Roman" w:eastAsia="Times New Roman" w:hAnsi="Times New Roman" w:cs="Times New Roman"/>
          <w:sz w:val="24"/>
          <w:szCs w:val="24"/>
        </w:rPr>
        <w:t xml:space="preserve"> paslaugą</w:t>
      </w:r>
      <w:r w:rsidR="00534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50111">
        <w:rPr>
          <w:rFonts w:ascii="Times New Roman" w:eastAsia="Times New Roman" w:hAnsi="Times New Roman" w:cs="Times New Roman"/>
          <w:sz w:val="24"/>
          <w:szCs w:val="24"/>
        </w:rPr>
        <w:t>dienos socialinė globa institucijoje, kuri bus skirta asmenims su negalia.</w:t>
      </w:r>
      <w:r w:rsidR="00FA2986">
        <w:rPr>
          <w:rFonts w:ascii="Times New Roman" w:eastAsia="Times New Roman" w:hAnsi="Times New Roman" w:cs="Times New Roman"/>
          <w:sz w:val="24"/>
          <w:szCs w:val="24"/>
        </w:rPr>
        <w:t xml:space="preserve"> Paslauga bus teikiama Basanavičiaus g. 8, Rokiškio mieste (buvusiose T. Vaižganto gimnazijos bendrabučio patalpose). </w:t>
      </w:r>
      <w:r w:rsidR="00450111">
        <w:rPr>
          <w:rFonts w:ascii="Times New Roman" w:eastAsia="Times New Roman" w:hAnsi="Times New Roman" w:cs="Times New Roman"/>
          <w:sz w:val="24"/>
          <w:szCs w:val="24"/>
        </w:rPr>
        <w:t>Šiai paslaugai teikti  gauta licencija i</w:t>
      </w:r>
      <w:r w:rsidR="00FA2986">
        <w:rPr>
          <w:rFonts w:ascii="Times New Roman" w:eastAsia="Times New Roman" w:hAnsi="Times New Roman" w:cs="Times New Roman"/>
          <w:sz w:val="24"/>
          <w:szCs w:val="24"/>
        </w:rPr>
        <w:t xml:space="preserve">š Socialinių paslaugų priežiūros departamento prie Socialinės apsaugos ir darbo ministerijos. </w:t>
      </w:r>
      <w:r w:rsidR="005343A8">
        <w:rPr>
          <w:rFonts w:ascii="Times New Roman" w:eastAsia="Times New Roman" w:hAnsi="Times New Roman" w:cs="Times New Roman"/>
          <w:sz w:val="24"/>
          <w:szCs w:val="24"/>
        </w:rPr>
        <w:t>Vadovau</w:t>
      </w:r>
      <w:r w:rsidR="00234148">
        <w:rPr>
          <w:rFonts w:ascii="Times New Roman" w:eastAsia="Times New Roman" w:hAnsi="Times New Roman" w:cs="Times New Roman"/>
          <w:sz w:val="24"/>
          <w:szCs w:val="24"/>
        </w:rPr>
        <w:t>jantis Socialinių paslaugų finansavimo</w:t>
      </w:r>
      <w:r w:rsidR="005343A8">
        <w:rPr>
          <w:rFonts w:ascii="Times New Roman" w:eastAsia="Times New Roman" w:hAnsi="Times New Roman" w:cs="Times New Roman"/>
          <w:sz w:val="24"/>
          <w:szCs w:val="24"/>
        </w:rPr>
        <w:t xml:space="preserve"> ir lėšų apskaičiavimo metodika, Rokiškio socialinės paramos centras pateikė </w:t>
      </w:r>
      <w:r w:rsidR="003D0179">
        <w:rPr>
          <w:rFonts w:ascii="Times New Roman" w:eastAsia="Times New Roman" w:hAnsi="Times New Roman" w:cs="Times New Roman"/>
          <w:sz w:val="24"/>
          <w:szCs w:val="24"/>
        </w:rPr>
        <w:t xml:space="preserve">derinti </w:t>
      </w:r>
      <w:r w:rsidR="005343A8">
        <w:rPr>
          <w:rFonts w:ascii="Times New Roman" w:eastAsia="Times New Roman" w:hAnsi="Times New Roman" w:cs="Times New Roman"/>
          <w:sz w:val="24"/>
          <w:szCs w:val="24"/>
        </w:rPr>
        <w:t>dienos socialinės globos pasaugos kainą institucijo</w:t>
      </w:r>
      <w:r w:rsidR="00234148">
        <w:rPr>
          <w:rFonts w:ascii="Times New Roman" w:eastAsia="Times New Roman" w:hAnsi="Times New Roman" w:cs="Times New Roman"/>
          <w:sz w:val="24"/>
          <w:szCs w:val="24"/>
        </w:rPr>
        <w:t>j</w:t>
      </w:r>
      <w:r w:rsidR="005343A8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1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7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1104">
        <w:rPr>
          <w:rFonts w:ascii="Times New Roman" w:eastAsia="Times New Roman" w:hAnsi="Times New Roman" w:cs="Times New Roman"/>
          <w:sz w:val="24"/>
          <w:szCs w:val="24"/>
        </w:rPr>
        <w:t xml:space="preserve"> 8,50 Eur/val.</w:t>
      </w:r>
      <w:r w:rsidR="00234148">
        <w:rPr>
          <w:rFonts w:ascii="Times New Roman" w:eastAsia="Times New Roman" w:hAnsi="Times New Roman" w:cs="Times New Roman"/>
          <w:sz w:val="24"/>
          <w:szCs w:val="24"/>
        </w:rPr>
        <w:t xml:space="preserve"> Atsižvelgiant į</w:t>
      </w:r>
      <w:r w:rsidR="00296F44">
        <w:rPr>
          <w:rFonts w:ascii="Times New Roman" w:eastAsia="Times New Roman" w:hAnsi="Times New Roman" w:cs="Times New Roman"/>
          <w:sz w:val="24"/>
          <w:szCs w:val="24"/>
        </w:rPr>
        <w:t xml:space="preserve"> patirtas</w:t>
      </w:r>
      <w:r w:rsidR="00234148">
        <w:rPr>
          <w:rFonts w:ascii="Times New Roman" w:eastAsia="Times New Roman" w:hAnsi="Times New Roman" w:cs="Times New Roman"/>
          <w:sz w:val="24"/>
          <w:szCs w:val="24"/>
        </w:rPr>
        <w:t xml:space="preserve"> išlaidas</w:t>
      </w:r>
      <w:r w:rsidR="00296F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0179">
        <w:rPr>
          <w:rFonts w:ascii="Times New Roman" w:eastAsia="Times New Roman" w:hAnsi="Times New Roman" w:cs="Times New Roman"/>
          <w:sz w:val="24"/>
          <w:szCs w:val="24"/>
        </w:rPr>
        <w:t>suderinti</w:t>
      </w:r>
      <w:r w:rsidR="00296F44">
        <w:rPr>
          <w:rFonts w:ascii="Times New Roman" w:eastAsia="Times New Roman" w:hAnsi="Times New Roman" w:cs="Times New Roman"/>
          <w:sz w:val="24"/>
          <w:szCs w:val="24"/>
        </w:rPr>
        <w:t xml:space="preserve"> pateiktos ir kitos Rokiškio sociali</w:t>
      </w:r>
      <w:r w:rsidR="00421104">
        <w:rPr>
          <w:rFonts w:ascii="Times New Roman" w:eastAsia="Times New Roman" w:hAnsi="Times New Roman" w:cs="Times New Roman"/>
          <w:sz w:val="24"/>
          <w:szCs w:val="24"/>
        </w:rPr>
        <w:t xml:space="preserve">nės paramos centro socialinių paslaugų kainos </w:t>
      </w:r>
      <w:r w:rsidR="003D017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1104">
        <w:rPr>
          <w:rFonts w:ascii="Times New Roman" w:eastAsia="Times New Roman" w:hAnsi="Times New Roman" w:cs="Times New Roman"/>
          <w:sz w:val="24"/>
          <w:szCs w:val="24"/>
        </w:rPr>
        <w:t xml:space="preserve"> bendrosios</w:t>
      </w:r>
      <w:r w:rsidR="00FD3AD3">
        <w:rPr>
          <w:rFonts w:ascii="Times New Roman" w:eastAsia="Times New Roman" w:hAnsi="Times New Roman" w:cs="Times New Roman"/>
          <w:sz w:val="24"/>
          <w:szCs w:val="24"/>
        </w:rPr>
        <w:t xml:space="preserve"> (transporto, asmeninės higienos ir priežiūros ir kt. paslaugas)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>, socialinės priežiūros</w:t>
      </w:r>
      <w:r w:rsidR="0027565D">
        <w:rPr>
          <w:rFonts w:ascii="Times New Roman" w:eastAsia="Times New Roman" w:hAnsi="Times New Roman" w:cs="Times New Roman"/>
          <w:sz w:val="24"/>
          <w:szCs w:val="24"/>
        </w:rPr>
        <w:t xml:space="preserve"> pasla</w:t>
      </w:r>
      <w:r w:rsidR="00421104">
        <w:rPr>
          <w:rFonts w:ascii="Times New Roman" w:eastAsia="Times New Roman" w:hAnsi="Times New Roman" w:cs="Times New Roman"/>
          <w:sz w:val="24"/>
          <w:szCs w:val="24"/>
        </w:rPr>
        <w:t>ugo</w:t>
      </w:r>
      <w:r w:rsidR="0027565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65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 xml:space="preserve">pagalbos į namus, socialinių </w:t>
      </w:r>
      <w:r w:rsidR="0027565D">
        <w:rPr>
          <w:rFonts w:ascii="Times New Roman" w:eastAsia="Times New Roman" w:hAnsi="Times New Roman" w:cs="Times New Roman"/>
          <w:sz w:val="24"/>
          <w:szCs w:val="24"/>
        </w:rPr>
        <w:t>įgūdžių ugdymo ir palaikymas, apgyvendinimas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 xml:space="preserve"> savarankiško gyvenimo namuose</w:t>
      </w:r>
      <w:r w:rsidR="00FD3AD3">
        <w:rPr>
          <w:rFonts w:ascii="Times New Roman" w:eastAsia="Times New Roman" w:hAnsi="Times New Roman" w:cs="Times New Roman"/>
          <w:sz w:val="24"/>
          <w:szCs w:val="24"/>
        </w:rPr>
        <w:t>), s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>ocia</w:t>
      </w:r>
      <w:r w:rsidR="00683B5C">
        <w:rPr>
          <w:rFonts w:ascii="Times New Roman" w:eastAsia="Times New Roman" w:hAnsi="Times New Roman" w:cs="Times New Roman"/>
          <w:sz w:val="24"/>
          <w:szCs w:val="24"/>
        </w:rPr>
        <w:t xml:space="preserve">linės globos </w:t>
      </w:r>
      <w:r w:rsidR="00FD3A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3AD3">
        <w:rPr>
          <w:rFonts w:ascii="Times New Roman" w:eastAsia="Times New Roman" w:hAnsi="Times New Roman" w:cs="Times New Roman"/>
          <w:sz w:val="24"/>
          <w:szCs w:val="24"/>
        </w:rPr>
        <w:t>ienos socialinė globa namuose,</w:t>
      </w:r>
      <w:r w:rsidR="00421104">
        <w:rPr>
          <w:rFonts w:ascii="Times New Roman" w:eastAsia="Times New Roman" w:hAnsi="Times New Roman" w:cs="Times New Roman"/>
          <w:sz w:val="24"/>
          <w:szCs w:val="24"/>
        </w:rPr>
        <w:t xml:space="preserve"> trumpalaikė </w:t>
      </w:r>
      <w:r w:rsidR="00BA3FAB">
        <w:rPr>
          <w:rFonts w:ascii="Times New Roman" w:eastAsia="Times New Roman" w:hAnsi="Times New Roman" w:cs="Times New Roman"/>
          <w:sz w:val="24"/>
          <w:szCs w:val="24"/>
        </w:rPr>
        <w:t>socialinė globa institucijoje</w:t>
      </w:r>
      <w:r w:rsidR="004211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82D64" w14:textId="77777777" w:rsidR="00347701" w:rsidRPr="00421104" w:rsidRDefault="00450111" w:rsidP="0045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7565D" w:rsidRPr="004501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501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Laukiami rezultatai. </w:t>
      </w:r>
      <w:r w:rsidR="00FA2986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Patvirtinus dienos socialinės globos institucijoje socialinių paslaugų kainą, bus pradėtos teikti asmenims su negalia kompleksinė, nuolatinės specialistų priežiūros reikalaujanti pagalba.</w:t>
      </w:r>
      <w:r w:rsidR="00D44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Įv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rtinus 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socialinių paslaugų teikimo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faktines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išlaidas (darbo užmokesčio,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valstybinio socialinio draudimo įmokų,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transporto, komunalinių išlaidų ir kitas sąnaudas), </w:t>
      </w:r>
      <w:r w:rsidR="00D44D7D">
        <w:rPr>
          <w:rFonts w:ascii="Times New Roman" w:eastAsia="Times New Roman" w:hAnsi="Times New Roman" w:cs="Times New Roman"/>
          <w:color w:val="000000"/>
          <w:sz w:val="24"/>
          <w:szCs w:val="24"/>
        </w:rPr>
        <w:t>bus suder</w:t>
      </w:r>
      <w:r w:rsidR="00FD3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intos su </w:t>
      </w:r>
      <w:r w:rsidR="00683B5C">
        <w:rPr>
          <w:rFonts w:ascii="Times New Roman" w:eastAsia="Times New Roman" w:hAnsi="Times New Roman" w:cs="Times New Roman"/>
          <w:color w:val="000000"/>
          <w:sz w:val="24"/>
          <w:szCs w:val="24"/>
        </w:rPr>
        <w:t>steigėju</w:t>
      </w:r>
      <w:r w:rsidR="00FD3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kitos </w:t>
      </w:r>
      <w:r w:rsidR="0042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Rokiškio socialinės paramos centro </w:t>
      </w:r>
      <w:r w:rsidR="00FD3AD3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socialinių paslaugų kaino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18982D65" w14:textId="77777777" w:rsidR="00124CD2" w:rsidRPr="004F19BF" w:rsidRDefault="00DF40CE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Finansavimo šaltiniai ir lėšų poreikis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: savivaldybės biudžetas</w:t>
      </w:r>
      <w:r w:rsidR="0027565D">
        <w:rPr>
          <w:rFonts w:ascii="Times New Roman" w:eastAsia="Times New Roman" w:hAnsi="Times New Roman" w:cs="Times New Roman"/>
          <w:sz w:val="24"/>
          <w:szCs w:val="24"/>
        </w:rPr>
        <w:t xml:space="preserve"> ir valstybės biudžeto tikslinės dotacijos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82D66" w14:textId="77777777" w:rsidR="00124CD2" w:rsidRPr="004F19BF" w:rsidRDefault="00DF40CE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Suderinamumas su Lietuvos Respublikos galiojančiais teisės norminiais aktais</w:t>
      </w:r>
      <w:r w:rsidR="00020C88" w:rsidRPr="004F1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CD2"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>Projektas neprieštarauja galiojantiems teisės aktams.</w:t>
      </w:r>
    </w:p>
    <w:p w14:paraId="18982D67" w14:textId="77777777" w:rsidR="00124CD2" w:rsidRPr="00A662D9" w:rsidRDefault="00DF40CE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2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24CD2" w:rsidRPr="00A662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Antikorupcinis vertinimas</w:t>
      </w:r>
      <w:r w:rsidR="00124CD2" w:rsidRPr="00A66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662D9" w:rsidRPr="00A662D9">
        <w:rPr>
          <w:rFonts w:ascii="Times New Roman" w:hAnsi="Times New Roman" w:cs="Times New Roman"/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  <w:r w:rsidR="00124CD2" w:rsidRPr="00A66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982D68" w14:textId="77777777" w:rsidR="00124CD2" w:rsidRPr="004F19BF" w:rsidRDefault="00124CD2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69" w14:textId="77777777" w:rsidR="00124CD2" w:rsidRPr="004F19BF" w:rsidRDefault="00124CD2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82D6A" w14:textId="77777777" w:rsidR="00D51BC6" w:rsidRPr="004F19BF" w:rsidRDefault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>Socialinės paramos ir sveikatos s</w:t>
      </w:r>
      <w:r w:rsidR="002163B2">
        <w:rPr>
          <w:rFonts w:ascii="Times New Roman" w:eastAsia="Times New Roman" w:hAnsi="Times New Roman" w:cs="Times New Roman"/>
          <w:sz w:val="24"/>
          <w:szCs w:val="24"/>
        </w:rPr>
        <w:t xml:space="preserve">kyriaus vedėjo pavaduotoja             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ab/>
      </w:r>
      <w:r w:rsidR="002163B2">
        <w:rPr>
          <w:rFonts w:ascii="Times New Roman" w:eastAsia="Times New Roman" w:hAnsi="Times New Roman" w:cs="Times New Roman"/>
          <w:sz w:val="24"/>
          <w:szCs w:val="24"/>
        </w:rPr>
        <w:t>Zita Čaplikienė</w:t>
      </w:r>
    </w:p>
    <w:sectPr w:rsidR="00D51BC6" w:rsidRPr="004F19BF" w:rsidSect="00D93562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82D6F" w14:textId="77777777" w:rsidR="005C4E38" w:rsidRDefault="005C4E38" w:rsidP="004F0AC7">
      <w:pPr>
        <w:spacing w:after="0" w:line="240" w:lineRule="auto"/>
      </w:pPr>
      <w:r>
        <w:separator/>
      </w:r>
    </w:p>
  </w:endnote>
  <w:endnote w:type="continuationSeparator" w:id="0">
    <w:p w14:paraId="18982D70" w14:textId="77777777" w:rsidR="005C4E38" w:rsidRDefault="005C4E38" w:rsidP="004F0AC7">
      <w:pPr>
        <w:spacing w:after="0" w:line="240" w:lineRule="auto"/>
      </w:pPr>
      <w:r>
        <w:continuationSeparator/>
      </w:r>
    </w:p>
  </w:endnote>
  <w:endnote w:type="continuationNotice" w:id="1">
    <w:p w14:paraId="18982D71" w14:textId="77777777" w:rsidR="005C4E38" w:rsidRDefault="005C4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82D6C" w14:textId="77777777" w:rsidR="005C4E38" w:rsidRDefault="005C4E38" w:rsidP="004F0AC7">
      <w:pPr>
        <w:spacing w:after="0" w:line="240" w:lineRule="auto"/>
      </w:pPr>
      <w:r>
        <w:separator/>
      </w:r>
    </w:p>
  </w:footnote>
  <w:footnote w:type="continuationSeparator" w:id="0">
    <w:p w14:paraId="18982D6D" w14:textId="77777777" w:rsidR="005C4E38" w:rsidRDefault="005C4E38" w:rsidP="004F0AC7">
      <w:pPr>
        <w:spacing w:after="0" w:line="240" w:lineRule="auto"/>
      </w:pPr>
      <w:r>
        <w:continuationSeparator/>
      </w:r>
    </w:p>
  </w:footnote>
  <w:footnote w:type="continuationNotice" w:id="1">
    <w:p w14:paraId="18982D6E" w14:textId="77777777" w:rsidR="005C4E38" w:rsidRDefault="005C4E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2D73" w14:textId="6C038BE6" w:rsidR="0045098B" w:rsidRPr="00D93562" w:rsidRDefault="00D93562" w:rsidP="00D93562">
    <w:pPr>
      <w:pStyle w:val="Antrats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81E"/>
    <w:multiLevelType w:val="hybridMultilevel"/>
    <w:tmpl w:val="192C05F2"/>
    <w:lvl w:ilvl="0" w:tplc="CDEA36FE">
      <w:start w:val="1"/>
      <w:numFmt w:val="decimal"/>
      <w:lvlText w:val="%1."/>
      <w:lvlJc w:val="left"/>
      <w:pPr>
        <w:ind w:left="1560" w:hanging="360"/>
      </w:pPr>
    </w:lvl>
    <w:lvl w:ilvl="1" w:tplc="04270019">
      <w:start w:val="1"/>
      <w:numFmt w:val="lowerLetter"/>
      <w:lvlText w:val="%2."/>
      <w:lvlJc w:val="left"/>
      <w:pPr>
        <w:ind w:left="2280" w:hanging="360"/>
      </w:pPr>
    </w:lvl>
    <w:lvl w:ilvl="2" w:tplc="0427001B">
      <w:start w:val="1"/>
      <w:numFmt w:val="lowerRoman"/>
      <w:lvlText w:val="%3."/>
      <w:lvlJc w:val="right"/>
      <w:pPr>
        <w:ind w:left="3000" w:hanging="180"/>
      </w:pPr>
    </w:lvl>
    <w:lvl w:ilvl="3" w:tplc="0427000F">
      <w:start w:val="1"/>
      <w:numFmt w:val="decimal"/>
      <w:lvlText w:val="%4."/>
      <w:lvlJc w:val="left"/>
      <w:pPr>
        <w:ind w:left="3720" w:hanging="360"/>
      </w:pPr>
    </w:lvl>
    <w:lvl w:ilvl="4" w:tplc="04270019">
      <w:start w:val="1"/>
      <w:numFmt w:val="lowerLetter"/>
      <w:lvlText w:val="%5."/>
      <w:lvlJc w:val="left"/>
      <w:pPr>
        <w:ind w:left="4440" w:hanging="360"/>
      </w:pPr>
    </w:lvl>
    <w:lvl w:ilvl="5" w:tplc="0427001B">
      <w:start w:val="1"/>
      <w:numFmt w:val="lowerRoman"/>
      <w:lvlText w:val="%6."/>
      <w:lvlJc w:val="right"/>
      <w:pPr>
        <w:ind w:left="5160" w:hanging="180"/>
      </w:pPr>
    </w:lvl>
    <w:lvl w:ilvl="6" w:tplc="0427000F">
      <w:start w:val="1"/>
      <w:numFmt w:val="decimal"/>
      <w:lvlText w:val="%7."/>
      <w:lvlJc w:val="left"/>
      <w:pPr>
        <w:ind w:left="5880" w:hanging="360"/>
      </w:pPr>
    </w:lvl>
    <w:lvl w:ilvl="7" w:tplc="04270019">
      <w:start w:val="1"/>
      <w:numFmt w:val="lowerLetter"/>
      <w:lvlText w:val="%8."/>
      <w:lvlJc w:val="left"/>
      <w:pPr>
        <w:ind w:left="6600" w:hanging="360"/>
      </w:pPr>
    </w:lvl>
    <w:lvl w:ilvl="8" w:tplc="0427001B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2EE0C7E"/>
    <w:multiLevelType w:val="hybridMultilevel"/>
    <w:tmpl w:val="3C0E4E7E"/>
    <w:lvl w:ilvl="0" w:tplc="3DB6D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41D1"/>
    <w:multiLevelType w:val="hybridMultilevel"/>
    <w:tmpl w:val="F8CC4C6E"/>
    <w:lvl w:ilvl="0" w:tplc="37E00C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F99"/>
    <w:multiLevelType w:val="hybridMultilevel"/>
    <w:tmpl w:val="9A540C28"/>
    <w:lvl w:ilvl="0" w:tplc="00DE93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FB6573"/>
    <w:multiLevelType w:val="hybridMultilevel"/>
    <w:tmpl w:val="DCC4C974"/>
    <w:lvl w:ilvl="0" w:tplc="3416BC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314F57C3"/>
    <w:multiLevelType w:val="hybridMultilevel"/>
    <w:tmpl w:val="174883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605727"/>
    <w:multiLevelType w:val="hybridMultilevel"/>
    <w:tmpl w:val="F3E649BE"/>
    <w:lvl w:ilvl="0" w:tplc="C04480E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8625D0"/>
    <w:multiLevelType w:val="hybridMultilevel"/>
    <w:tmpl w:val="0C3C9CE4"/>
    <w:lvl w:ilvl="0" w:tplc="3942F582">
      <w:start w:val="1"/>
      <w:numFmt w:val="upperRoman"/>
      <w:lvlText w:val="%1."/>
      <w:lvlJc w:val="left"/>
      <w:pPr>
        <w:ind w:left="2520" w:hanging="720"/>
      </w:pPr>
      <w:rPr>
        <w:rFonts w:eastAsiaTheme="minorEastAsia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7275549"/>
    <w:multiLevelType w:val="hybridMultilevel"/>
    <w:tmpl w:val="3A16E3DC"/>
    <w:lvl w:ilvl="0" w:tplc="B18022B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C6"/>
    <w:rsid w:val="0000196E"/>
    <w:rsid w:val="00002877"/>
    <w:rsid w:val="00003792"/>
    <w:rsid w:val="000119D2"/>
    <w:rsid w:val="000174F1"/>
    <w:rsid w:val="0002071A"/>
    <w:rsid w:val="00020C88"/>
    <w:rsid w:val="00035809"/>
    <w:rsid w:val="00037395"/>
    <w:rsid w:val="000420BD"/>
    <w:rsid w:val="0004719C"/>
    <w:rsid w:val="000474E4"/>
    <w:rsid w:val="000478B7"/>
    <w:rsid w:val="00052BCB"/>
    <w:rsid w:val="00061EF9"/>
    <w:rsid w:val="00071A45"/>
    <w:rsid w:val="00072295"/>
    <w:rsid w:val="000770F0"/>
    <w:rsid w:val="00077106"/>
    <w:rsid w:val="00086B58"/>
    <w:rsid w:val="00091CC4"/>
    <w:rsid w:val="000946E1"/>
    <w:rsid w:val="00095737"/>
    <w:rsid w:val="000A6AF0"/>
    <w:rsid w:val="000B3213"/>
    <w:rsid w:val="000B662D"/>
    <w:rsid w:val="000B7EB2"/>
    <w:rsid w:val="000D0A90"/>
    <w:rsid w:val="000F0A28"/>
    <w:rsid w:val="00101EDC"/>
    <w:rsid w:val="00123D96"/>
    <w:rsid w:val="00124253"/>
    <w:rsid w:val="00124CD2"/>
    <w:rsid w:val="001311BD"/>
    <w:rsid w:val="00134499"/>
    <w:rsid w:val="001345BF"/>
    <w:rsid w:val="00135005"/>
    <w:rsid w:val="00137BEA"/>
    <w:rsid w:val="00155105"/>
    <w:rsid w:val="00172E09"/>
    <w:rsid w:val="00182644"/>
    <w:rsid w:val="00185256"/>
    <w:rsid w:val="00194140"/>
    <w:rsid w:val="001964DB"/>
    <w:rsid w:val="001A43AF"/>
    <w:rsid w:val="001B3B5F"/>
    <w:rsid w:val="001B7A54"/>
    <w:rsid w:val="001B7AAA"/>
    <w:rsid w:val="001C30F2"/>
    <w:rsid w:val="001D2D22"/>
    <w:rsid w:val="001E06CB"/>
    <w:rsid w:val="001E1281"/>
    <w:rsid w:val="001E28AF"/>
    <w:rsid w:val="001E3903"/>
    <w:rsid w:val="001E5DE2"/>
    <w:rsid w:val="001E7928"/>
    <w:rsid w:val="001F13CF"/>
    <w:rsid w:val="002034AB"/>
    <w:rsid w:val="00203DF3"/>
    <w:rsid w:val="00212212"/>
    <w:rsid w:val="00215AE5"/>
    <w:rsid w:val="002163B2"/>
    <w:rsid w:val="00225989"/>
    <w:rsid w:val="00234148"/>
    <w:rsid w:val="00240154"/>
    <w:rsid w:val="002412B0"/>
    <w:rsid w:val="0025278F"/>
    <w:rsid w:val="00265DCE"/>
    <w:rsid w:val="0027565D"/>
    <w:rsid w:val="002836D7"/>
    <w:rsid w:val="00296F44"/>
    <w:rsid w:val="002A3E38"/>
    <w:rsid w:val="002B0A2F"/>
    <w:rsid w:val="002B17B5"/>
    <w:rsid w:val="002B29B7"/>
    <w:rsid w:val="002B2E39"/>
    <w:rsid w:val="002B5323"/>
    <w:rsid w:val="002C2AD5"/>
    <w:rsid w:val="002C3182"/>
    <w:rsid w:val="002C53EB"/>
    <w:rsid w:val="002D20C7"/>
    <w:rsid w:val="002D5ED8"/>
    <w:rsid w:val="0033286A"/>
    <w:rsid w:val="00336000"/>
    <w:rsid w:val="00344562"/>
    <w:rsid w:val="00346E0A"/>
    <w:rsid w:val="00347701"/>
    <w:rsid w:val="003505C3"/>
    <w:rsid w:val="00391F2A"/>
    <w:rsid w:val="003B7718"/>
    <w:rsid w:val="003C0B42"/>
    <w:rsid w:val="003C1E13"/>
    <w:rsid w:val="003D0179"/>
    <w:rsid w:val="003E68A0"/>
    <w:rsid w:val="003F5511"/>
    <w:rsid w:val="003F7A1F"/>
    <w:rsid w:val="004003CF"/>
    <w:rsid w:val="00404CB8"/>
    <w:rsid w:val="00411D5E"/>
    <w:rsid w:val="004151B8"/>
    <w:rsid w:val="00420940"/>
    <w:rsid w:val="00421104"/>
    <w:rsid w:val="00450111"/>
    <w:rsid w:val="0045098B"/>
    <w:rsid w:val="00454109"/>
    <w:rsid w:val="00464EA2"/>
    <w:rsid w:val="00467C36"/>
    <w:rsid w:val="004731EE"/>
    <w:rsid w:val="00482CE3"/>
    <w:rsid w:val="00486E75"/>
    <w:rsid w:val="00492A0E"/>
    <w:rsid w:val="00493E38"/>
    <w:rsid w:val="00497E0D"/>
    <w:rsid w:val="004A0392"/>
    <w:rsid w:val="004A0DBA"/>
    <w:rsid w:val="004A4B12"/>
    <w:rsid w:val="004B2B4D"/>
    <w:rsid w:val="004B2CFC"/>
    <w:rsid w:val="004D1C29"/>
    <w:rsid w:val="004D34C9"/>
    <w:rsid w:val="004D5013"/>
    <w:rsid w:val="004D7839"/>
    <w:rsid w:val="004F0AC7"/>
    <w:rsid w:val="004F19BF"/>
    <w:rsid w:val="0050207C"/>
    <w:rsid w:val="00502833"/>
    <w:rsid w:val="005343A8"/>
    <w:rsid w:val="00535FA6"/>
    <w:rsid w:val="00553755"/>
    <w:rsid w:val="00553D60"/>
    <w:rsid w:val="005643B7"/>
    <w:rsid w:val="00573214"/>
    <w:rsid w:val="00591E9B"/>
    <w:rsid w:val="00594884"/>
    <w:rsid w:val="005A561C"/>
    <w:rsid w:val="005B0F48"/>
    <w:rsid w:val="005C4E38"/>
    <w:rsid w:val="005D0E82"/>
    <w:rsid w:val="005D5F47"/>
    <w:rsid w:val="005F5C15"/>
    <w:rsid w:val="00603DEC"/>
    <w:rsid w:val="00605142"/>
    <w:rsid w:val="0060576E"/>
    <w:rsid w:val="00606CC7"/>
    <w:rsid w:val="0061412B"/>
    <w:rsid w:val="006248DA"/>
    <w:rsid w:val="00626CB6"/>
    <w:rsid w:val="00627C3B"/>
    <w:rsid w:val="00632273"/>
    <w:rsid w:val="00633632"/>
    <w:rsid w:val="00647CDB"/>
    <w:rsid w:val="0065316D"/>
    <w:rsid w:val="00656E71"/>
    <w:rsid w:val="00670271"/>
    <w:rsid w:val="00683A8D"/>
    <w:rsid w:val="00683B5C"/>
    <w:rsid w:val="006848FF"/>
    <w:rsid w:val="00686006"/>
    <w:rsid w:val="00687DC9"/>
    <w:rsid w:val="006A1328"/>
    <w:rsid w:val="006A1E46"/>
    <w:rsid w:val="006A3961"/>
    <w:rsid w:val="006A4145"/>
    <w:rsid w:val="006B30AD"/>
    <w:rsid w:val="006B6368"/>
    <w:rsid w:val="006B7448"/>
    <w:rsid w:val="006B7CB2"/>
    <w:rsid w:val="006C2A13"/>
    <w:rsid w:val="006C53F3"/>
    <w:rsid w:val="006C638F"/>
    <w:rsid w:val="006D0275"/>
    <w:rsid w:val="006E0BD5"/>
    <w:rsid w:val="006E1ABC"/>
    <w:rsid w:val="006E2F71"/>
    <w:rsid w:val="006E3B08"/>
    <w:rsid w:val="00704971"/>
    <w:rsid w:val="00716E1F"/>
    <w:rsid w:val="0073171F"/>
    <w:rsid w:val="00732A79"/>
    <w:rsid w:val="00737F22"/>
    <w:rsid w:val="00744A6A"/>
    <w:rsid w:val="007633FE"/>
    <w:rsid w:val="007779FA"/>
    <w:rsid w:val="00780F1C"/>
    <w:rsid w:val="0079498F"/>
    <w:rsid w:val="0079695D"/>
    <w:rsid w:val="007A3C85"/>
    <w:rsid w:val="007B0357"/>
    <w:rsid w:val="007B6B8C"/>
    <w:rsid w:val="007C2B62"/>
    <w:rsid w:val="007C32D7"/>
    <w:rsid w:val="007C4A4C"/>
    <w:rsid w:val="007C5D30"/>
    <w:rsid w:val="007D0D9C"/>
    <w:rsid w:val="007D244B"/>
    <w:rsid w:val="007F2FB2"/>
    <w:rsid w:val="008003FF"/>
    <w:rsid w:val="00803032"/>
    <w:rsid w:val="00807655"/>
    <w:rsid w:val="0081169B"/>
    <w:rsid w:val="00814797"/>
    <w:rsid w:val="008278AD"/>
    <w:rsid w:val="0083679B"/>
    <w:rsid w:val="00840D7C"/>
    <w:rsid w:val="0084369B"/>
    <w:rsid w:val="00844C33"/>
    <w:rsid w:val="00854979"/>
    <w:rsid w:val="0086298D"/>
    <w:rsid w:val="008638B1"/>
    <w:rsid w:val="00870207"/>
    <w:rsid w:val="008778BE"/>
    <w:rsid w:val="00891E32"/>
    <w:rsid w:val="00896FAF"/>
    <w:rsid w:val="008A46EB"/>
    <w:rsid w:val="008A601B"/>
    <w:rsid w:val="008B0693"/>
    <w:rsid w:val="008B0E4C"/>
    <w:rsid w:val="008C54B7"/>
    <w:rsid w:val="008D0222"/>
    <w:rsid w:val="008D6047"/>
    <w:rsid w:val="008E547E"/>
    <w:rsid w:val="008E76FC"/>
    <w:rsid w:val="00901292"/>
    <w:rsid w:val="00912268"/>
    <w:rsid w:val="009141A3"/>
    <w:rsid w:val="0091505D"/>
    <w:rsid w:val="00917DD2"/>
    <w:rsid w:val="00921CE0"/>
    <w:rsid w:val="00924C68"/>
    <w:rsid w:val="00927B1E"/>
    <w:rsid w:val="00931D83"/>
    <w:rsid w:val="00946367"/>
    <w:rsid w:val="00947F51"/>
    <w:rsid w:val="00961C47"/>
    <w:rsid w:val="009A2909"/>
    <w:rsid w:val="009B2DD9"/>
    <w:rsid w:val="009D71E3"/>
    <w:rsid w:val="009E440F"/>
    <w:rsid w:val="009F29D3"/>
    <w:rsid w:val="00A010FA"/>
    <w:rsid w:val="00A01FBC"/>
    <w:rsid w:val="00A077A7"/>
    <w:rsid w:val="00A14A1A"/>
    <w:rsid w:val="00A21706"/>
    <w:rsid w:val="00A25F58"/>
    <w:rsid w:val="00A33494"/>
    <w:rsid w:val="00A4173E"/>
    <w:rsid w:val="00A51647"/>
    <w:rsid w:val="00A60BF6"/>
    <w:rsid w:val="00A61A88"/>
    <w:rsid w:val="00A643BF"/>
    <w:rsid w:val="00A65920"/>
    <w:rsid w:val="00A662D9"/>
    <w:rsid w:val="00A679EC"/>
    <w:rsid w:val="00A723D6"/>
    <w:rsid w:val="00A731F0"/>
    <w:rsid w:val="00A80EAB"/>
    <w:rsid w:val="00A84169"/>
    <w:rsid w:val="00A861CE"/>
    <w:rsid w:val="00A90092"/>
    <w:rsid w:val="00A92B91"/>
    <w:rsid w:val="00AA524F"/>
    <w:rsid w:val="00AC6D91"/>
    <w:rsid w:val="00AC6DC1"/>
    <w:rsid w:val="00AD16C3"/>
    <w:rsid w:val="00AD5868"/>
    <w:rsid w:val="00AE47FC"/>
    <w:rsid w:val="00B043AB"/>
    <w:rsid w:val="00B22BD1"/>
    <w:rsid w:val="00B2486D"/>
    <w:rsid w:val="00B42B7F"/>
    <w:rsid w:val="00B704E5"/>
    <w:rsid w:val="00BA305E"/>
    <w:rsid w:val="00BA3FAB"/>
    <w:rsid w:val="00BA7DA5"/>
    <w:rsid w:val="00BB7F70"/>
    <w:rsid w:val="00BC0D2E"/>
    <w:rsid w:val="00BC2B9F"/>
    <w:rsid w:val="00BC568E"/>
    <w:rsid w:val="00BD02D6"/>
    <w:rsid w:val="00BD2FB5"/>
    <w:rsid w:val="00BE0024"/>
    <w:rsid w:val="00BE5FD8"/>
    <w:rsid w:val="00BF0F83"/>
    <w:rsid w:val="00BF2B48"/>
    <w:rsid w:val="00C00782"/>
    <w:rsid w:val="00C044A5"/>
    <w:rsid w:val="00C07C08"/>
    <w:rsid w:val="00C131DD"/>
    <w:rsid w:val="00C16756"/>
    <w:rsid w:val="00C335C4"/>
    <w:rsid w:val="00C3588E"/>
    <w:rsid w:val="00C42D51"/>
    <w:rsid w:val="00C43D25"/>
    <w:rsid w:val="00C5284D"/>
    <w:rsid w:val="00C54EDE"/>
    <w:rsid w:val="00C56C28"/>
    <w:rsid w:val="00C57FA4"/>
    <w:rsid w:val="00C62BDD"/>
    <w:rsid w:val="00C65B57"/>
    <w:rsid w:val="00C71629"/>
    <w:rsid w:val="00C772FB"/>
    <w:rsid w:val="00C867CC"/>
    <w:rsid w:val="00C93400"/>
    <w:rsid w:val="00CB6F91"/>
    <w:rsid w:val="00CC1453"/>
    <w:rsid w:val="00CD1064"/>
    <w:rsid w:val="00CE782C"/>
    <w:rsid w:val="00CF49E6"/>
    <w:rsid w:val="00D0481E"/>
    <w:rsid w:val="00D07075"/>
    <w:rsid w:val="00D26836"/>
    <w:rsid w:val="00D32F02"/>
    <w:rsid w:val="00D378FC"/>
    <w:rsid w:val="00D44D7D"/>
    <w:rsid w:val="00D50A54"/>
    <w:rsid w:val="00D51BC6"/>
    <w:rsid w:val="00D51EDB"/>
    <w:rsid w:val="00D56125"/>
    <w:rsid w:val="00D63B29"/>
    <w:rsid w:val="00D850E8"/>
    <w:rsid w:val="00D93562"/>
    <w:rsid w:val="00D93EBF"/>
    <w:rsid w:val="00DA41AC"/>
    <w:rsid w:val="00DB29A3"/>
    <w:rsid w:val="00DC1C90"/>
    <w:rsid w:val="00DC71AD"/>
    <w:rsid w:val="00DD02DE"/>
    <w:rsid w:val="00DD0AF0"/>
    <w:rsid w:val="00DE3FF8"/>
    <w:rsid w:val="00DE42A5"/>
    <w:rsid w:val="00DF40CE"/>
    <w:rsid w:val="00E05FE6"/>
    <w:rsid w:val="00E10918"/>
    <w:rsid w:val="00E16707"/>
    <w:rsid w:val="00E213CC"/>
    <w:rsid w:val="00E23DD5"/>
    <w:rsid w:val="00E2535C"/>
    <w:rsid w:val="00E36935"/>
    <w:rsid w:val="00E43911"/>
    <w:rsid w:val="00E50401"/>
    <w:rsid w:val="00E512B5"/>
    <w:rsid w:val="00E51540"/>
    <w:rsid w:val="00E54454"/>
    <w:rsid w:val="00E610BB"/>
    <w:rsid w:val="00E80DE2"/>
    <w:rsid w:val="00E8553A"/>
    <w:rsid w:val="00E9146E"/>
    <w:rsid w:val="00E97601"/>
    <w:rsid w:val="00EA736B"/>
    <w:rsid w:val="00EB0066"/>
    <w:rsid w:val="00ED2666"/>
    <w:rsid w:val="00EE0C87"/>
    <w:rsid w:val="00EE2B7B"/>
    <w:rsid w:val="00EE5E6F"/>
    <w:rsid w:val="00EE69E0"/>
    <w:rsid w:val="00EF091E"/>
    <w:rsid w:val="00F10E36"/>
    <w:rsid w:val="00F1330C"/>
    <w:rsid w:val="00F16C99"/>
    <w:rsid w:val="00F16CF9"/>
    <w:rsid w:val="00F21411"/>
    <w:rsid w:val="00F26C9C"/>
    <w:rsid w:val="00F36BCD"/>
    <w:rsid w:val="00F4102E"/>
    <w:rsid w:val="00F41FB9"/>
    <w:rsid w:val="00F4372E"/>
    <w:rsid w:val="00F505EC"/>
    <w:rsid w:val="00F54D16"/>
    <w:rsid w:val="00F574BC"/>
    <w:rsid w:val="00F6409B"/>
    <w:rsid w:val="00F6474D"/>
    <w:rsid w:val="00F653A8"/>
    <w:rsid w:val="00F70A9D"/>
    <w:rsid w:val="00F84C2C"/>
    <w:rsid w:val="00F92C6C"/>
    <w:rsid w:val="00FA2986"/>
    <w:rsid w:val="00FB0B5F"/>
    <w:rsid w:val="00FB7A32"/>
    <w:rsid w:val="00FC65A2"/>
    <w:rsid w:val="00FC76D0"/>
    <w:rsid w:val="00FD3AD3"/>
    <w:rsid w:val="00FD5F3D"/>
    <w:rsid w:val="00FE465D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982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591D-52E7-4F05-84F0-6D13BAF8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Giedrė Kunigelienė</cp:lastModifiedBy>
  <cp:revision>2</cp:revision>
  <cp:lastPrinted>2021-12-09T11:48:00Z</cp:lastPrinted>
  <dcterms:created xsi:type="dcterms:W3CDTF">2021-12-15T13:24:00Z</dcterms:created>
  <dcterms:modified xsi:type="dcterms:W3CDTF">2021-12-15T13:24:00Z</dcterms:modified>
</cp:coreProperties>
</file>