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0922DE0A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 xml:space="preserve">ROKIŠKIO RAJONO </w:t>
      </w:r>
      <w:r w:rsidR="008353BD">
        <w:rPr>
          <w:b/>
          <w:bCs/>
          <w:kern w:val="32"/>
          <w:sz w:val="24"/>
          <w:szCs w:val="24"/>
          <w:lang w:val="lt-LT"/>
        </w:rPr>
        <w:t>SAVIVALDYBĖS TARYBOS 2021 M. KOVO 26 D. SPRENDIMO NR. TS-56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„DĖL</w:t>
      </w:r>
      <w:r w:rsidR="008353BD">
        <w:rPr>
          <w:b/>
          <w:bCs/>
          <w:kern w:val="32"/>
          <w:sz w:val="24"/>
          <w:szCs w:val="24"/>
          <w:lang w:val="lt-LT"/>
        </w:rPr>
        <w:t xml:space="preserve"> ROKIŠKIO RAJONO SAVIVALDYBĖS ŠVIETIMO ĮSTAIGŲ VADOVŲ DARBO APMOKĖJIMO SISTEMOS PATVIRTINIMO</w:t>
      </w:r>
      <w:r w:rsidR="00591615">
        <w:rPr>
          <w:b/>
          <w:bCs/>
          <w:kern w:val="32"/>
          <w:sz w:val="24"/>
          <w:szCs w:val="24"/>
          <w:lang w:val="lt-LT"/>
        </w:rPr>
        <w:t>“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37233A8" w:rsidR="00D276B0" w:rsidRPr="0017751A" w:rsidRDefault="00C90E37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310715">
        <w:rPr>
          <w:sz w:val="24"/>
          <w:szCs w:val="24"/>
          <w:lang w:val="lt-LT"/>
        </w:rPr>
        <w:t xml:space="preserve"> m. gruodžio 23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17B4F88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3E684C">
        <w:rPr>
          <w:sz w:val="24"/>
          <w:szCs w:val="24"/>
          <w:lang w:val="lt-LT"/>
        </w:rPr>
        <w:t xml:space="preserve"> 18 straipsnio 1 dalimi, </w:t>
      </w:r>
      <w:r w:rsidR="008353BD">
        <w:rPr>
          <w:sz w:val="24"/>
          <w:szCs w:val="24"/>
          <w:lang w:val="lt-LT"/>
        </w:rPr>
        <w:t>Lietuvos Respublikos valstybės ir savivaldybių įstaigų darbuotojų darbo apmokėjimo ir komisijų narių atlygio už darb</w:t>
      </w:r>
      <w:r w:rsidR="001D277E">
        <w:rPr>
          <w:sz w:val="24"/>
          <w:szCs w:val="24"/>
          <w:lang w:val="lt-LT"/>
        </w:rPr>
        <w:t>ą įstatymo Nr. XIII-198 1, 3, 5, 6, 7, 9, 12, 14</w:t>
      </w:r>
      <w:r w:rsidR="008353BD">
        <w:rPr>
          <w:sz w:val="24"/>
          <w:szCs w:val="24"/>
          <w:lang w:val="lt-LT"/>
        </w:rPr>
        <w:t xml:space="preserve"> straipsnių ir</w:t>
      </w:r>
      <w:r w:rsidR="001D277E">
        <w:rPr>
          <w:sz w:val="24"/>
          <w:szCs w:val="24"/>
          <w:lang w:val="lt-LT"/>
        </w:rPr>
        <w:t xml:space="preserve"> 1, 2, 3, 4, 5 priedų</w:t>
      </w:r>
      <w:r w:rsidR="008353BD">
        <w:rPr>
          <w:sz w:val="24"/>
          <w:szCs w:val="24"/>
          <w:lang w:val="lt-LT"/>
        </w:rPr>
        <w:t xml:space="preserve"> pakeitimo įstatymu,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0C6E9E7" w14:textId="372C8AEF" w:rsidR="00406170" w:rsidRDefault="00AE61B8" w:rsidP="004061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406170">
        <w:rPr>
          <w:sz w:val="24"/>
          <w:szCs w:val="24"/>
          <w:lang w:val="lt-LT"/>
        </w:rPr>
        <w:t xml:space="preserve">Pakeisti Rokiškio rajono savivaldybės švietimo įstaigų vadovų darbo apmokėjimo sistemos, patvirtintos </w:t>
      </w:r>
      <w:r w:rsidR="00406170" w:rsidRPr="00883412">
        <w:rPr>
          <w:sz w:val="24"/>
          <w:szCs w:val="24"/>
          <w:lang w:val="lt-LT"/>
        </w:rPr>
        <w:t>Rokiškio</w:t>
      </w:r>
      <w:r w:rsidR="00406170" w:rsidRPr="0059118E">
        <w:rPr>
          <w:sz w:val="24"/>
          <w:szCs w:val="24"/>
          <w:lang w:val="lt-LT"/>
        </w:rPr>
        <w:t xml:space="preserve"> </w:t>
      </w:r>
      <w:r w:rsidR="00406170"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="00406170" w:rsidRPr="005F151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1 priedą</w:t>
      </w:r>
      <w:r w:rsidR="00406170">
        <w:rPr>
          <w:sz w:val="24"/>
          <w:szCs w:val="24"/>
          <w:lang w:val="lt-LT"/>
        </w:rPr>
        <w:t xml:space="preserve"> ir jį išdėstyti taip:</w:t>
      </w:r>
    </w:p>
    <w:p w14:paraId="28897A2F" w14:textId="73F9089D" w:rsidR="0098077B" w:rsidRDefault="00657D3D" w:rsidP="0098077B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8077B">
        <w:rPr>
          <w:sz w:val="24"/>
          <w:szCs w:val="24"/>
          <w:lang w:val="lt-LT"/>
        </w:rPr>
        <w:t>„R</w:t>
      </w:r>
      <w:r w:rsidR="0098077B" w:rsidRPr="004408A9">
        <w:rPr>
          <w:sz w:val="24"/>
          <w:szCs w:val="24"/>
          <w:lang w:val="lt-LT"/>
        </w:rPr>
        <w:t xml:space="preserve">okiškio rajono </w:t>
      </w:r>
      <w:r w:rsidR="0098077B">
        <w:rPr>
          <w:sz w:val="24"/>
          <w:szCs w:val="24"/>
          <w:lang w:val="lt-LT"/>
        </w:rPr>
        <w:t>savivaldybės</w:t>
      </w:r>
      <w:r w:rsidR="0098077B" w:rsidRPr="004408A9">
        <w:rPr>
          <w:sz w:val="24"/>
          <w:szCs w:val="24"/>
          <w:lang w:val="lt-LT"/>
        </w:rPr>
        <w:t xml:space="preserve"> </w:t>
      </w:r>
    </w:p>
    <w:p w14:paraId="3D2134AA" w14:textId="54FFE7C7" w:rsidR="0098077B" w:rsidRDefault="0098077B" w:rsidP="0098077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</w:t>
      </w:r>
      <w:r w:rsidR="00C85F24">
        <w:rPr>
          <w:sz w:val="24"/>
          <w:szCs w:val="24"/>
          <w:lang w:val="lt-LT"/>
        </w:rPr>
        <w:t xml:space="preserve">                            </w:t>
      </w:r>
      <w:r w:rsidRPr="004408A9">
        <w:rPr>
          <w:sz w:val="24"/>
          <w:szCs w:val="24"/>
          <w:lang w:val="lt-LT"/>
        </w:rPr>
        <w:t xml:space="preserve">švietimo įstaigų vadovų </w:t>
      </w:r>
    </w:p>
    <w:p w14:paraId="3DEE448F" w14:textId="52CB4270" w:rsidR="0098077B" w:rsidRPr="004408A9" w:rsidRDefault="0098077B" w:rsidP="0098077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</w:t>
      </w:r>
      <w:r w:rsidR="00C85F24">
        <w:rPr>
          <w:sz w:val="24"/>
          <w:szCs w:val="24"/>
          <w:lang w:val="lt-LT"/>
        </w:rPr>
        <w:t xml:space="preserve">                             </w:t>
      </w:r>
      <w:r w:rsidRPr="004408A9">
        <w:rPr>
          <w:sz w:val="24"/>
          <w:szCs w:val="24"/>
          <w:lang w:val="lt-LT"/>
        </w:rPr>
        <w:t xml:space="preserve">darbo apmokėjimo </w:t>
      </w:r>
      <w:r>
        <w:rPr>
          <w:sz w:val="24"/>
          <w:szCs w:val="24"/>
          <w:lang w:val="lt-LT"/>
        </w:rPr>
        <w:t>sistemos</w:t>
      </w:r>
    </w:p>
    <w:p w14:paraId="78C903E1" w14:textId="65A5B203" w:rsidR="0098077B" w:rsidRDefault="00C85F24" w:rsidP="0098077B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</w:t>
      </w:r>
      <w:r w:rsidR="0098077B">
        <w:rPr>
          <w:sz w:val="24"/>
          <w:szCs w:val="24"/>
          <w:lang w:val="lt-LT"/>
        </w:rPr>
        <w:t>1 p</w:t>
      </w:r>
      <w:r w:rsidR="0098077B" w:rsidRPr="006F2994">
        <w:rPr>
          <w:sz w:val="24"/>
          <w:szCs w:val="24"/>
          <w:lang w:val="lt-LT"/>
        </w:rPr>
        <w:t>riedas</w:t>
      </w:r>
    </w:p>
    <w:p w14:paraId="109A4E18" w14:textId="77777777" w:rsidR="00C87913" w:rsidRDefault="00C87913" w:rsidP="0098077B">
      <w:pPr>
        <w:ind w:left="3888" w:firstLine="1296"/>
        <w:rPr>
          <w:sz w:val="24"/>
          <w:szCs w:val="24"/>
          <w:lang w:val="lt-LT"/>
        </w:rPr>
      </w:pPr>
    </w:p>
    <w:p w14:paraId="4D348249" w14:textId="607EFCE2" w:rsidR="007726AD" w:rsidRPr="0059118E" w:rsidRDefault="007726AD" w:rsidP="007726AD">
      <w:pPr>
        <w:pStyle w:val="Betarp"/>
        <w:jc w:val="center"/>
        <w:rPr>
          <w:b/>
          <w:sz w:val="24"/>
          <w:szCs w:val="24"/>
          <w:lang w:val="lt-LT"/>
        </w:rPr>
      </w:pPr>
      <w:r w:rsidRPr="0059118E">
        <w:rPr>
          <w:b/>
          <w:sz w:val="24"/>
          <w:szCs w:val="24"/>
          <w:lang w:val="lt-LT"/>
        </w:rPr>
        <w:t>SAVIVALDYBĖS ĮSTAIGŲ VADOVŲ (IŠSKYRUS MOKYKLŲ</w:t>
      </w:r>
      <w:r w:rsidR="0036444C" w:rsidRPr="0059118E">
        <w:rPr>
          <w:b/>
          <w:sz w:val="24"/>
          <w:szCs w:val="24"/>
          <w:lang w:val="lt-LT"/>
        </w:rPr>
        <w:t xml:space="preserve"> IR PAGALBOS ĮSTAIGŲ</w:t>
      </w:r>
      <w:r w:rsidRPr="0059118E">
        <w:rPr>
          <w:b/>
          <w:sz w:val="24"/>
          <w:szCs w:val="24"/>
          <w:lang w:val="lt-LT"/>
        </w:rPr>
        <w:t xml:space="preserve"> VADOVŲ)</w:t>
      </w:r>
      <w:r w:rsidR="0036444C" w:rsidRPr="0059118E">
        <w:rPr>
          <w:b/>
          <w:sz w:val="24"/>
          <w:szCs w:val="24"/>
          <w:lang w:val="lt-LT"/>
        </w:rPr>
        <w:t xml:space="preserve"> </w:t>
      </w:r>
      <w:r w:rsidRPr="0059118E">
        <w:rPr>
          <w:b/>
          <w:sz w:val="24"/>
          <w:szCs w:val="24"/>
          <w:lang w:val="lt-LT"/>
        </w:rPr>
        <w:t>PAREIGINĖS ALGOS PASTOVIOSIOS DALIES KOEFICIENTAI</w:t>
      </w:r>
    </w:p>
    <w:p w14:paraId="5398D9DD" w14:textId="647348C2" w:rsidR="00C641BD" w:rsidRPr="0059118E" w:rsidRDefault="00C641BD" w:rsidP="00C641BD">
      <w:pPr>
        <w:pStyle w:val="Betarp"/>
        <w:jc w:val="right"/>
        <w:rPr>
          <w:lang w:val="lt-LT"/>
        </w:rPr>
      </w:pPr>
    </w:p>
    <w:p w14:paraId="028F73C4" w14:textId="07D064E2" w:rsidR="007726AD" w:rsidRPr="006F2994" w:rsidRDefault="00C641BD" w:rsidP="0098077B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(Baziniais dydžiais)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062"/>
        <w:gridCol w:w="4151"/>
      </w:tblGrid>
      <w:tr w:rsidR="00C641BD" w:rsidRPr="005024F9" w14:paraId="66427066" w14:textId="77777777" w:rsidTr="00E26AE0">
        <w:trPr>
          <w:tblHeader/>
        </w:trPr>
        <w:tc>
          <w:tcPr>
            <w:tcW w:w="2183" w:type="dxa"/>
            <w:vMerge w:val="restart"/>
            <w:vAlign w:val="center"/>
            <w:hideMark/>
          </w:tcPr>
          <w:p w14:paraId="5D4FB854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Valstybės ar savivaldybių įstaigų grupė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565F546B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Vadovaujamo darbo</w:t>
            </w:r>
          </w:p>
          <w:p w14:paraId="223667E9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patirtis</w:t>
            </w:r>
          </w:p>
          <w:p w14:paraId="1C3D23B9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(metais)</w:t>
            </w:r>
          </w:p>
        </w:tc>
        <w:tc>
          <w:tcPr>
            <w:tcW w:w="4253" w:type="dxa"/>
            <w:vAlign w:val="center"/>
            <w:hideMark/>
          </w:tcPr>
          <w:p w14:paraId="70902E05" w14:textId="77777777" w:rsidR="00C641BD" w:rsidRPr="005024F9" w:rsidRDefault="00C641BD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Pastoviosio</w:t>
            </w:r>
            <w:r>
              <w:rPr>
                <w:sz w:val="24"/>
                <w:szCs w:val="24"/>
                <w:lang w:val="lt-LT"/>
              </w:rPr>
              <w:t>s dalies koeficientai, jeigu</w:t>
            </w:r>
            <w:r w:rsidRPr="005024F9">
              <w:rPr>
                <w:sz w:val="24"/>
                <w:szCs w:val="24"/>
                <w:lang w:val="lt-LT"/>
              </w:rPr>
              <w:t xml:space="preserve"> pareigybės lygis A</w:t>
            </w:r>
          </w:p>
        </w:tc>
      </w:tr>
      <w:tr w:rsidR="00C641BD" w:rsidRPr="005C6759" w14:paraId="2413931B" w14:textId="77777777" w:rsidTr="00E26AE0">
        <w:trPr>
          <w:trHeight w:val="419"/>
          <w:tblHeader/>
        </w:trPr>
        <w:tc>
          <w:tcPr>
            <w:tcW w:w="0" w:type="auto"/>
            <w:vMerge/>
            <w:vAlign w:val="center"/>
            <w:hideMark/>
          </w:tcPr>
          <w:p w14:paraId="1DDED931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93EE201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vAlign w:val="center"/>
            <w:hideMark/>
          </w:tcPr>
          <w:p w14:paraId="4C70F27D" w14:textId="77777777" w:rsidR="00C641BD" w:rsidRPr="005C6759" w:rsidRDefault="00C641BD" w:rsidP="00E26AE0">
            <w:pPr>
              <w:jc w:val="center"/>
            </w:pPr>
            <w:r w:rsidRPr="005024F9">
              <w:rPr>
                <w:sz w:val="24"/>
                <w:szCs w:val="24"/>
                <w:lang w:val="lt-LT"/>
              </w:rPr>
              <w:t>vadovų</w:t>
            </w:r>
          </w:p>
        </w:tc>
      </w:tr>
      <w:tr w:rsidR="00C641BD" w:rsidRPr="005024F9" w14:paraId="44370576" w14:textId="77777777" w:rsidTr="00E26AE0">
        <w:trPr>
          <w:trHeight w:val="271"/>
        </w:trPr>
        <w:tc>
          <w:tcPr>
            <w:tcW w:w="2183" w:type="dxa"/>
            <w:vMerge w:val="restart"/>
            <w:vAlign w:val="center"/>
            <w:hideMark/>
          </w:tcPr>
          <w:p w14:paraId="1DFF49A7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 grupė</w:t>
            </w:r>
          </w:p>
          <w:p w14:paraId="65B95326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(51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>200 pareigybių)</w:t>
            </w:r>
          </w:p>
        </w:tc>
        <w:tc>
          <w:tcPr>
            <w:tcW w:w="3118" w:type="dxa"/>
            <w:vAlign w:val="center"/>
            <w:hideMark/>
          </w:tcPr>
          <w:p w14:paraId="11B7BD96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4253" w:type="dxa"/>
            <w:vAlign w:val="center"/>
            <w:hideMark/>
          </w:tcPr>
          <w:p w14:paraId="50F0E2BB" w14:textId="39FF9FAA" w:rsidR="00C641BD" w:rsidRPr="005024F9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641BD">
              <w:rPr>
                <w:sz w:val="24"/>
                <w:szCs w:val="24"/>
                <w:lang w:val="lt-LT"/>
              </w:rPr>
              <w:t>,8–13,7</w:t>
            </w:r>
          </w:p>
        </w:tc>
      </w:tr>
      <w:tr w:rsidR="00C641BD" w:rsidRPr="005024F9" w14:paraId="257820E9" w14:textId="77777777" w:rsidTr="00E26AE0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0DD95E6E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vAlign w:val="center"/>
            <w:hideMark/>
          </w:tcPr>
          <w:p w14:paraId="67085E47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4253" w:type="dxa"/>
            <w:vAlign w:val="center"/>
            <w:hideMark/>
          </w:tcPr>
          <w:p w14:paraId="4715AC19" w14:textId="0BE31879" w:rsidR="00C641BD" w:rsidRPr="005024F9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641BD">
              <w:rPr>
                <w:sz w:val="24"/>
                <w:szCs w:val="24"/>
                <w:lang w:val="lt-LT"/>
              </w:rPr>
              <w:t>,9–13,9</w:t>
            </w:r>
          </w:p>
        </w:tc>
      </w:tr>
      <w:tr w:rsidR="00C641BD" w:rsidRPr="005024F9" w14:paraId="5FCEF268" w14:textId="77777777" w:rsidTr="00E26AE0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0C935EB8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vAlign w:val="center"/>
            <w:hideMark/>
          </w:tcPr>
          <w:p w14:paraId="0CA564AE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4253" w:type="dxa"/>
            <w:vAlign w:val="center"/>
            <w:hideMark/>
          </w:tcPr>
          <w:p w14:paraId="401424A7" w14:textId="6F08CC17" w:rsidR="00C641BD" w:rsidRPr="005024F9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C641BD">
              <w:rPr>
                <w:sz w:val="24"/>
                <w:szCs w:val="24"/>
                <w:lang w:val="lt-LT"/>
              </w:rPr>
              <w:t>–14,1</w:t>
            </w:r>
          </w:p>
        </w:tc>
      </w:tr>
      <w:tr w:rsidR="00C641BD" w:rsidRPr="00587AD2" w14:paraId="52B077FA" w14:textId="77777777" w:rsidTr="00E26AE0">
        <w:trPr>
          <w:trHeight w:val="281"/>
        </w:trPr>
        <w:tc>
          <w:tcPr>
            <w:tcW w:w="0" w:type="auto"/>
            <w:vMerge w:val="restart"/>
            <w:vAlign w:val="center"/>
          </w:tcPr>
          <w:p w14:paraId="21367486" w14:textId="77777777" w:rsidR="00C641BD" w:rsidRPr="00587AD2" w:rsidRDefault="00C641BD" w:rsidP="00E26AE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II grupė</w:t>
            </w:r>
          </w:p>
          <w:p w14:paraId="4120EC01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(50 ir mažiau 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pareigybių)</w:t>
            </w:r>
          </w:p>
        </w:tc>
        <w:tc>
          <w:tcPr>
            <w:tcW w:w="3118" w:type="dxa"/>
            <w:vAlign w:val="center"/>
          </w:tcPr>
          <w:p w14:paraId="270ACC77" w14:textId="77777777" w:rsidR="00C641BD" w:rsidRPr="00587AD2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  <w:vAlign w:val="center"/>
          </w:tcPr>
          <w:p w14:paraId="6452AC7F" w14:textId="3D27E830" w:rsidR="00C641BD" w:rsidRPr="00587AD2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C641BD">
              <w:rPr>
                <w:bCs/>
                <w:color w:val="000000"/>
                <w:sz w:val="24"/>
                <w:szCs w:val="24"/>
              </w:rPr>
              <w:t>,5–13,3</w:t>
            </w:r>
          </w:p>
        </w:tc>
      </w:tr>
      <w:tr w:rsidR="00C641BD" w:rsidRPr="00587AD2" w14:paraId="40648AEB" w14:textId="77777777" w:rsidTr="00E26AE0">
        <w:trPr>
          <w:trHeight w:val="281"/>
        </w:trPr>
        <w:tc>
          <w:tcPr>
            <w:tcW w:w="0" w:type="auto"/>
            <w:vMerge/>
            <w:vAlign w:val="center"/>
          </w:tcPr>
          <w:p w14:paraId="56F7849D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0A77038" w14:textId="77777777" w:rsidR="00C641BD" w:rsidRPr="00587AD2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nuo daugiau kaip</w:t>
            </w:r>
            <w:r w:rsidRPr="00587AD2">
              <w:rPr>
                <w:color w:val="000000"/>
                <w:sz w:val="24"/>
                <w:szCs w:val="24"/>
              </w:rPr>
              <w:t xml:space="preserve"> 5 </w:t>
            </w: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vAlign w:val="center"/>
          </w:tcPr>
          <w:p w14:paraId="628917D7" w14:textId="7D903D1C" w:rsidR="00C641BD" w:rsidRPr="00587AD2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C641BD">
              <w:rPr>
                <w:bCs/>
                <w:color w:val="000000"/>
                <w:sz w:val="24"/>
                <w:szCs w:val="24"/>
              </w:rPr>
              <w:t>,6</w:t>
            </w:r>
            <w:r w:rsidR="00C641BD" w:rsidRPr="00587AD2">
              <w:rPr>
                <w:bCs/>
                <w:color w:val="000000"/>
                <w:sz w:val="24"/>
                <w:szCs w:val="24"/>
              </w:rPr>
              <w:t>–</w:t>
            </w:r>
            <w:r w:rsidR="00C641BD">
              <w:rPr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C641BD" w:rsidRPr="00587AD2" w14:paraId="3CBA01BD" w14:textId="77777777" w:rsidTr="00E26AE0">
        <w:trPr>
          <w:trHeight w:val="281"/>
        </w:trPr>
        <w:tc>
          <w:tcPr>
            <w:tcW w:w="0" w:type="auto"/>
            <w:vMerge/>
            <w:vAlign w:val="center"/>
          </w:tcPr>
          <w:p w14:paraId="6C321DDA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9B03525" w14:textId="77777777" w:rsidR="00C641BD" w:rsidRPr="00587AD2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daugiau kaip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vAlign w:val="center"/>
          </w:tcPr>
          <w:p w14:paraId="57F3BD82" w14:textId="400CAF2C" w:rsidR="00C641BD" w:rsidRPr="00587AD2" w:rsidRDefault="007046DB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C641BD">
              <w:rPr>
                <w:bCs/>
                <w:color w:val="000000"/>
                <w:sz w:val="24"/>
                <w:szCs w:val="24"/>
              </w:rPr>
              <w:t>,7–13,7</w:t>
            </w:r>
            <w:r w:rsidR="00F726F0" w:rsidRPr="005F1516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18DBE861" w14:textId="77777777" w:rsidR="0098077B" w:rsidRDefault="0098077B" w:rsidP="00406170">
      <w:pPr>
        <w:ind w:firstLine="851"/>
        <w:jc w:val="both"/>
        <w:rPr>
          <w:sz w:val="24"/>
          <w:szCs w:val="24"/>
          <w:lang w:val="lt-LT"/>
        </w:rPr>
      </w:pPr>
    </w:p>
    <w:p w14:paraId="4C00531E" w14:textId="77777777" w:rsidR="009C7BC3" w:rsidRDefault="00874B5C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Pakeisti Rokiškio rajono savivaldybės švietimo įstaigų vadovų darbo apmokėjimo sistemos, patvirtintos </w:t>
      </w:r>
      <w:r w:rsidRPr="00883412">
        <w:rPr>
          <w:sz w:val="24"/>
          <w:szCs w:val="24"/>
          <w:lang w:val="lt-LT"/>
        </w:rPr>
        <w:t>Rokiškio</w:t>
      </w:r>
      <w:r w:rsidRPr="0059118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Pr="005F1516">
        <w:rPr>
          <w:sz w:val="24"/>
          <w:szCs w:val="24"/>
          <w:lang w:val="lt-LT"/>
        </w:rPr>
        <w:t>“</w:t>
      </w:r>
      <w:r w:rsidR="009C7BC3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 w:rsidR="009C7BC3">
        <w:rPr>
          <w:sz w:val="24"/>
          <w:szCs w:val="24"/>
          <w:lang w:val="lt-LT"/>
        </w:rPr>
        <w:t xml:space="preserve">2 </w:t>
      </w:r>
      <w:r>
        <w:rPr>
          <w:sz w:val="24"/>
          <w:szCs w:val="24"/>
          <w:lang w:val="lt-LT"/>
        </w:rPr>
        <w:t>p</w:t>
      </w:r>
      <w:r w:rsidR="009C7BC3">
        <w:rPr>
          <w:sz w:val="24"/>
          <w:szCs w:val="24"/>
          <w:lang w:val="lt-LT"/>
        </w:rPr>
        <w:t>riedo:</w:t>
      </w:r>
    </w:p>
    <w:p w14:paraId="78EF8D78" w14:textId="5C1F2F89" w:rsidR="00406170" w:rsidRPr="00406170" w:rsidRDefault="009C7BC3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1 punktą</w:t>
      </w:r>
      <w:r w:rsidR="00874B5C">
        <w:rPr>
          <w:sz w:val="24"/>
          <w:szCs w:val="24"/>
          <w:lang w:val="lt-LT"/>
        </w:rPr>
        <w:t xml:space="preserve"> ir jį išdėstyti taip:</w:t>
      </w:r>
    </w:p>
    <w:p w14:paraId="7B914385" w14:textId="77777777" w:rsidR="00A22FAC" w:rsidRDefault="0039149B" w:rsidP="00A22FAC">
      <w:pPr>
        <w:pStyle w:val="Betarp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7C5791">
        <w:rPr>
          <w:sz w:val="24"/>
          <w:szCs w:val="24"/>
          <w:lang w:val="lt-LT"/>
        </w:rPr>
        <w:t>1</w:t>
      </w:r>
      <w:r w:rsidR="009C7BC3">
        <w:rPr>
          <w:sz w:val="24"/>
          <w:szCs w:val="24"/>
          <w:lang w:val="lt-LT"/>
        </w:rPr>
        <w:t xml:space="preserve">. </w:t>
      </w:r>
      <w:r w:rsidR="00A22FAC" w:rsidRPr="00A22FAC">
        <w:rPr>
          <w:sz w:val="24"/>
          <w:szCs w:val="24"/>
          <w:lang w:val="lt-LT"/>
        </w:rPr>
        <w:t>Mokyklų vadovų pareiginės algos pastoviosios dalies koeficientai:</w:t>
      </w:r>
    </w:p>
    <w:p w14:paraId="5946E4C3" w14:textId="63A13420" w:rsidR="00A22FAC" w:rsidRPr="006F2994" w:rsidRDefault="00A22FAC" w:rsidP="00A22FAC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</w:t>
      </w:r>
    </w:p>
    <w:p w14:paraId="7FD3A2C2" w14:textId="77777777" w:rsidR="001213DF" w:rsidRDefault="00A22FAC" w:rsidP="00A22FAC">
      <w:pPr>
        <w:pStyle w:val="Betarp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</w:t>
      </w:r>
    </w:p>
    <w:p w14:paraId="70571ED6" w14:textId="7517EF60" w:rsidR="00A22FAC" w:rsidRDefault="00A22FAC" w:rsidP="001213DF">
      <w:pPr>
        <w:pStyle w:val="Betarp"/>
        <w:ind w:firstLine="851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(Baziniais dydžiais)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58"/>
        <w:gridCol w:w="2259"/>
        <w:gridCol w:w="2807"/>
      </w:tblGrid>
      <w:tr w:rsidR="00A22FAC" w:rsidRPr="004A7166" w14:paraId="34F399CB" w14:textId="77777777" w:rsidTr="00A22FAC">
        <w:trPr>
          <w:trHeight w:val="300"/>
        </w:trPr>
        <w:tc>
          <w:tcPr>
            <w:tcW w:w="2215" w:type="dxa"/>
            <w:vMerge w:val="restart"/>
            <w:vAlign w:val="center"/>
          </w:tcPr>
          <w:p w14:paraId="6C644A85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lastRenderedPageBreak/>
              <w:t xml:space="preserve">Mokinių skaičius </w:t>
            </w:r>
          </w:p>
        </w:tc>
        <w:tc>
          <w:tcPr>
            <w:tcW w:w="7424" w:type="dxa"/>
            <w:gridSpan w:val="3"/>
            <w:vAlign w:val="center"/>
          </w:tcPr>
          <w:p w14:paraId="5E8BD191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Pastoviosios dalies koeficientai</w:t>
            </w:r>
          </w:p>
        </w:tc>
      </w:tr>
      <w:tr w:rsidR="00A22FAC" w:rsidRPr="004A7166" w14:paraId="387F64E0" w14:textId="77777777" w:rsidTr="00A22FAC">
        <w:trPr>
          <w:trHeight w:val="300"/>
        </w:trPr>
        <w:tc>
          <w:tcPr>
            <w:tcW w:w="2215" w:type="dxa"/>
            <w:vMerge/>
            <w:vAlign w:val="center"/>
            <w:hideMark/>
          </w:tcPr>
          <w:p w14:paraId="005FCCBA" w14:textId="77777777" w:rsidR="00A22FAC" w:rsidRPr="004A7166" w:rsidRDefault="00A22FAC" w:rsidP="00E26AE0">
            <w:pPr>
              <w:pStyle w:val="Betarp"/>
            </w:pPr>
          </w:p>
        </w:tc>
        <w:tc>
          <w:tcPr>
            <w:tcW w:w="7424" w:type="dxa"/>
            <w:gridSpan w:val="3"/>
            <w:vAlign w:val="center"/>
            <w:hideMark/>
          </w:tcPr>
          <w:p w14:paraId="763DB616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pedagoginio darbo stažas (metais)</w:t>
            </w:r>
          </w:p>
        </w:tc>
      </w:tr>
      <w:tr w:rsidR="00A22FAC" w:rsidRPr="004A7166" w14:paraId="018EF5CA" w14:textId="77777777" w:rsidTr="00A22FAC">
        <w:trPr>
          <w:trHeight w:val="588"/>
        </w:trPr>
        <w:tc>
          <w:tcPr>
            <w:tcW w:w="2215" w:type="dxa"/>
            <w:vMerge/>
            <w:vAlign w:val="center"/>
            <w:hideMark/>
          </w:tcPr>
          <w:p w14:paraId="0A4DC968" w14:textId="77777777" w:rsidR="00A22FAC" w:rsidRPr="004A7166" w:rsidRDefault="00A22FAC" w:rsidP="00E26AE0">
            <w:pPr>
              <w:pStyle w:val="Betarp"/>
            </w:pPr>
          </w:p>
        </w:tc>
        <w:tc>
          <w:tcPr>
            <w:tcW w:w="2358" w:type="dxa"/>
            <w:vAlign w:val="center"/>
            <w:hideMark/>
          </w:tcPr>
          <w:p w14:paraId="65346110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10 metų</w:t>
            </w:r>
          </w:p>
        </w:tc>
        <w:tc>
          <w:tcPr>
            <w:tcW w:w="2259" w:type="dxa"/>
            <w:vAlign w:val="center"/>
            <w:hideMark/>
          </w:tcPr>
          <w:p w14:paraId="257C8B31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nuo daugiau kaip 10 iki 15</w:t>
            </w:r>
          </w:p>
        </w:tc>
        <w:tc>
          <w:tcPr>
            <w:tcW w:w="2807" w:type="dxa"/>
            <w:vAlign w:val="center"/>
            <w:hideMark/>
          </w:tcPr>
          <w:p w14:paraId="35F48B40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daugiau kaip 15</w:t>
            </w:r>
          </w:p>
        </w:tc>
      </w:tr>
      <w:tr w:rsidR="00A22FAC" w:rsidRPr="004A7166" w14:paraId="34144476" w14:textId="77777777" w:rsidTr="000708BD">
        <w:trPr>
          <w:trHeight w:val="324"/>
        </w:trPr>
        <w:tc>
          <w:tcPr>
            <w:tcW w:w="2215" w:type="dxa"/>
            <w:vAlign w:val="center"/>
            <w:hideMark/>
          </w:tcPr>
          <w:p w14:paraId="6477EA32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200</w:t>
            </w:r>
          </w:p>
        </w:tc>
        <w:tc>
          <w:tcPr>
            <w:tcW w:w="2358" w:type="dxa"/>
            <w:noWrap/>
            <w:vAlign w:val="bottom"/>
          </w:tcPr>
          <w:p w14:paraId="6760799F" w14:textId="0FE5AB0E" w:rsidR="00A22FAC" w:rsidRPr="00573E2B" w:rsidRDefault="000708BD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12,54</w:t>
            </w:r>
          </w:p>
        </w:tc>
        <w:tc>
          <w:tcPr>
            <w:tcW w:w="2259" w:type="dxa"/>
            <w:noWrap/>
            <w:vAlign w:val="bottom"/>
          </w:tcPr>
          <w:p w14:paraId="7B26BEEC" w14:textId="7FB408D2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2807" w:type="dxa"/>
            <w:noWrap/>
            <w:vAlign w:val="bottom"/>
          </w:tcPr>
          <w:p w14:paraId="18774EBC" w14:textId="748D3C3B" w:rsidR="00A22FAC" w:rsidRPr="00690DEA" w:rsidRDefault="00690DEA" w:rsidP="000708BD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690DEA">
              <w:rPr>
                <w:sz w:val="24"/>
                <w:szCs w:val="24"/>
                <w:lang w:val="lt-LT"/>
              </w:rPr>
              <w:t>13,31</w:t>
            </w:r>
          </w:p>
        </w:tc>
      </w:tr>
      <w:tr w:rsidR="00A22FAC" w:rsidRPr="004A7166" w14:paraId="2C6E5EF9" w14:textId="77777777" w:rsidTr="000708BD">
        <w:trPr>
          <w:trHeight w:val="324"/>
        </w:trPr>
        <w:tc>
          <w:tcPr>
            <w:tcW w:w="2215" w:type="dxa"/>
            <w:vAlign w:val="center"/>
            <w:hideMark/>
          </w:tcPr>
          <w:p w14:paraId="08932542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201–400</w:t>
            </w:r>
          </w:p>
        </w:tc>
        <w:tc>
          <w:tcPr>
            <w:tcW w:w="2358" w:type="dxa"/>
            <w:noWrap/>
            <w:vAlign w:val="bottom"/>
          </w:tcPr>
          <w:p w14:paraId="100905E8" w14:textId="0C59711C" w:rsidR="00A22FAC" w:rsidRPr="000708BD" w:rsidRDefault="000708BD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0708BD">
              <w:rPr>
                <w:sz w:val="24"/>
                <w:szCs w:val="24"/>
                <w:lang w:val="lt-LT"/>
              </w:rPr>
              <w:t>13,7</w:t>
            </w:r>
          </w:p>
        </w:tc>
        <w:tc>
          <w:tcPr>
            <w:tcW w:w="2259" w:type="dxa"/>
            <w:noWrap/>
            <w:vAlign w:val="bottom"/>
          </w:tcPr>
          <w:p w14:paraId="45346036" w14:textId="38C34A17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13,82</w:t>
            </w:r>
          </w:p>
        </w:tc>
        <w:tc>
          <w:tcPr>
            <w:tcW w:w="2807" w:type="dxa"/>
            <w:noWrap/>
            <w:vAlign w:val="bottom"/>
          </w:tcPr>
          <w:p w14:paraId="055BC3AC" w14:textId="694CACA0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13,83</w:t>
            </w:r>
          </w:p>
        </w:tc>
      </w:tr>
      <w:tr w:rsidR="00A22FAC" w:rsidRPr="004A7166" w14:paraId="62DB501F" w14:textId="77777777" w:rsidTr="00A22FAC">
        <w:trPr>
          <w:trHeight w:val="324"/>
        </w:trPr>
        <w:tc>
          <w:tcPr>
            <w:tcW w:w="2215" w:type="dxa"/>
            <w:vAlign w:val="center"/>
          </w:tcPr>
          <w:p w14:paraId="213E46DB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401–600</w:t>
            </w:r>
          </w:p>
        </w:tc>
        <w:tc>
          <w:tcPr>
            <w:tcW w:w="2358" w:type="dxa"/>
            <w:noWrap/>
            <w:vAlign w:val="bottom"/>
          </w:tcPr>
          <w:p w14:paraId="6D311593" w14:textId="5E550262" w:rsidR="00A22FAC" w:rsidRPr="00573E2B" w:rsidRDefault="000708BD" w:rsidP="000708BD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13,75</w:t>
            </w:r>
          </w:p>
        </w:tc>
        <w:tc>
          <w:tcPr>
            <w:tcW w:w="2259" w:type="dxa"/>
            <w:noWrap/>
            <w:vAlign w:val="bottom"/>
          </w:tcPr>
          <w:p w14:paraId="0F159653" w14:textId="36FE1A1D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13,84</w:t>
            </w:r>
          </w:p>
        </w:tc>
        <w:tc>
          <w:tcPr>
            <w:tcW w:w="2807" w:type="dxa"/>
            <w:noWrap/>
            <w:vAlign w:val="bottom"/>
          </w:tcPr>
          <w:p w14:paraId="4A34B39C" w14:textId="3D876671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13,88</w:t>
            </w:r>
          </w:p>
        </w:tc>
      </w:tr>
      <w:tr w:rsidR="00A22FAC" w:rsidRPr="004A7166" w14:paraId="5662C609" w14:textId="77777777" w:rsidTr="000708BD">
        <w:trPr>
          <w:trHeight w:val="70"/>
        </w:trPr>
        <w:tc>
          <w:tcPr>
            <w:tcW w:w="2215" w:type="dxa"/>
            <w:vAlign w:val="center"/>
            <w:hideMark/>
          </w:tcPr>
          <w:p w14:paraId="129D970C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601–1000</w:t>
            </w:r>
          </w:p>
        </w:tc>
        <w:tc>
          <w:tcPr>
            <w:tcW w:w="2358" w:type="dxa"/>
            <w:noWrap/>
            <w:vAlign w:val="bottom"/>
            <w:hideMark/>
          </w:tcPr>
          <w:p w14:paraId="42B85C69" w14:textId="7E4940D1" w:rsidR="00A22FAC" w:rsidRPr="000708BD" w:rsidRDefault="000708BD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0708BD">
              <w:rPr>
                <w:sz w:val="24"/>
                <w:szCs w:val="24"/>
                <w:lang w:val="lt-LT"/>
              </w:rPr>
              <w:t>14,75</w:t>
            </w:r>
          </w:p>
        </w:tc>
        <w:tc>
          <w:tcPr>
            <w:tcW w:w="2259" w:type="dxa"/>
            <w:noWrap/>
            <w:vAlign w:val="bottom"/>
          </w:tcPr>
          <w:p w14:paraId="35BDF2B3" w14:textId="4D3CA87F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690DEA">
              <w:rPr>
                <w:sz w:val="24"/>
                <w:szCs w:val="24"/>
                <w:lang w:val="lt-LT"/>
              </w:rPr>
              <w:t>14,78</w:t>
            </w:r>
          </w:p>
        </w:tc>
        <w:tc>
          <w:tcPr>
            <w:tcW w:w="2807" w:type="dxa"/>
            <w:noWrap/>
            <w:vAlign w:val="bottom"/>
          </w:tcPr>
          <w:p w14:paraId="53148C9A" w14:textId="0E71E19C" w:rsidR="00A22FAC" w:rsidRPr="00690DEA" w:rsidRDefault="00690DEA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690DEA">
              <w:rPr>
                <w:sz w:val="24"/>
                <w:szCs w:val="24"/>
                <w:lang w:val="lt-LT"/>
              </w:rPr>
              <w:t>14,81</w:t>
            </w:r>
          </w:p>
        </w:tc>
      </w:tr>
      <w:tr w:rsidR="00A22FAC" w14:paraId="6EA54EC3" w14:textId="77777777" w:rsidTr="00A22FAC">
        <w:trPr>
          <w:trHeight w:val="275"/>
        </w:trPr>
        <w:tc>
          <w:tcPr>
            <w:tcW w:w="2215" w:type="dxa"/>
            <w:vAlign w:val="center"/>
          </w:tcPr>
          <w:p w14:paraId="26543C29" w14:textId="77777777" w:rsidR="00A22FAC" w:rsidRPr="00573E2B" w:rsidRDefault="00A22FAC" w:rsidP="00E26AE0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1001 ir daugiau</w:t>
            </w:r>
          </w:p>
        </w:tc>
        <w:tc>
          <w:tcPr>
            <w:tcW w:w="2358" w:type="dxa"/>
            <w:noWrap/>
            <w:vAlign w:val="bottom"/>
          </w:tcPr>
          <w:p w14:paraId="0894B229" w14:textId="5B487C3F" w:rsidR="00A22FAC" w:rsidRPr="00573E2B" w:rsidRDefault="000708BD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14,78</w:t>
            </w:r>
          </w:p>
        </w:tc>
        <w:tc>
          <w:tcPr>
            <w:tcW w:w="2259" w:type="dxa"/>
            <w:noWrap/>
            <w:vAlign w:val="bottom"/>
          </w:tcPr>
          <w:p w14:paraId="4B838A63" w14:textId="2B18E16F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2807" w:type="dxa"/>
            <w:noWrap/>
            <w:vAlign w:val="bottom"/>
          </w:tcPr>
          <w:p w14:paraId="1060DA59" w14:textId="1B12C89B" w:rsidR="00A22FAC" w:rsidRPr="00573E2B" w:rsidRDefault="00690DEA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14,85“</w:t>
            </w:r>
          </w:p>
        </w:tc>
      </w:tr>
    </w:tbl>
    <w:p w14:paraId="00EBAD4E" w14:textId="77777777" w:rsidR="00A22FAC" w:rsidRPr="00A22FAC" w:rsidRDefault="00A22FAC" w:rsidP="00A22FAC">
      <w:pPr>
        <w:pStyle w:val="Betarp"/>
        <w:ind w:firstLine="851"/>
        <w:rPr>
          <w:sz w:val="24"/>
          <w:szCs w:val="24"/>
          <w:lang w:val="lt-LT"/>
        </w:rPr>
      </w:pPr>
    </w:p>
    <w:p w14:paraId="1AC130F1" w14:textId="61BFB63B" w:rsidR="00CD38C7" w:rsidRPr="00406170" w:rsidRDefault="002F04C9" w:rsidP="00CD38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CD38C7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CD38C7">
        <w:rPr>
          <w:sz w:val="24"/>
          <w:szCs w:val="24"/>
          <w:lang w:val="lt-LT"/>
        </w:rPr>
        <w:t xml:space="preserve"> 1</w:t>
      </w:r>
      <w:r w:rsidR="00CD38C7" w:rsidRPr="0059118E">
        <w:rPr>
          <w:color w:val="000000"/>
          <w:szCs w:val="24"/>
          <w:vertAlign w:val="superscript"/>
          <w:lang w:val="lt-LT"/>
        </w:rPr>
        <w:t>1</w:t>
      </w:r>
      <w:r w:rsidR="00826C1A">
        <w:rPr>
          <w:sz w:val="24"/>
          <w:szCs w:val="24"/>
          <w:lang w:val="lt-LT"/>
        </w:rPr>
        <w:t xml:space="preserve"> </w:t>
      </w:r>
      <w:r w:rsidR="00CD38C7">
        <w:rPr>
          <w:sz w:val="24"/>
          <w:szCs w:val="24"/>
          <w:lang w:val="lt-LT"/>
        </w:rPr>
        <w:t>pun</w:t>
      </w:r>
      <w:r w:rsidR="00B450C5">
        <w:rPr>
          <w:sz w:val="24"/>
          <w:szCs w:val="24"/>
          <w:lang w:val="lt-LT"/>
        </w:rPr>
        <w:t>ktą</w:t>
      </w:r>
      <w:r w:rsidR="00CD38C7">
        <w:rPr>
          <w:sz w:val="24"/>
          <w:szCs w:val="24"/>
          <w:lang w:val="lt-LT"/>
        </w:rPr>
        <w:t xml:space="preserve"> ir jį išdėstyti taip:</w:t>
      </w:r>
    </w:p>
    <w:p w14:paraId="7D32D94B" w14:textId="4005C98E" w:rsidR="00AC1089" w:rsidRDefault="00AC1089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„1</w:t>
      </w:r>
      <w:r w:rsidRPr="0059118E">
        <w:rPr>
          <w:color w:val="000000"/>
          <w:szCs w:val="24"/>
          <w:vertAlign w:val="superscript"/>
          <w:lang w:val="lt-LT"/>
        </w:rPr>
        <w:t>1</w:t>
      </w:r>
      <w:r>
        <w:rPr>
          <w:sz w:val="24"/>
          <w:szCs w:val="24"/>
          <w:lang w:val="lt-LT"/>
        </w:rPr>
        <w:t>. Švietimo pagalbos įstaigų vadovų, kurių darbas laikomas pedagoginiu, pareiginės algos pastoviosios dalies koeficientai:</w:t>
      </w:r>
    </w:p>
    <w:p w14:paraId="684068DF" w14:textId="77777777" w:rsidR="00117764" w:rsidRDefault="00117764" w:rsidP="0038401C">
      <w:pPr>
        <w:ind w:firstLine="851"/>
        <w:jc w:val="both"/>
        <w:rPr>
          <w:sz w:val="24"/>
          <w:szCs w:val="24"/>
          <w:lang w:val="lt-LT"/>
        </w:rPr>
      </w:pPr>
    </w:p>
    <w:p w14:paraId="39121903" w14:textId="092176C0" w:rsidR="00AC1089" w:rsidRDefault="00AC1089" w:rsidP="00AC1089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(Baziniais dydžiais)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3266"/>
        <w:gridCol w:w="3266"/>
      </w:tblGrid>
      <w:tr w:rsidR="00AC1089" w14:paraId="60444CA1" w14:textId="77777777" w:rsidTr="00AC1089">
        <w:tc>
          <w:tcPr>
            <w:tcW w:w="3157" w:type="dxa"/>
          </w:tcPr>
          <w:p w14:paraId="21C9FCE9" w14:textId="7AEC02C1" w:rsidR="00AC1089" w:rsidRDefault="00AC1089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3266" w:type="dxa"/>
          </w:tcPr>
          <w:p w14:paraId="5CF83BA7" w14:textId="7F5D99AE" w:rsidR="00AC1089" w:rsidRDefault="00AC1089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Vadovaujamo darbo patirtis (metais)</w:t>
            </w:r>
          </w:p>
        </w:tc>
        <w:tc>
          <w:tcPr>
            <w:tcW w:w="3266" w:type="dxa"/>
          </w:tcPr>
          <w:p w14:paraId="3A155AAC" w14:textId="31DE8BF5" w:rsidR="00AC1089" w:rsidRDefault="00AC1089" w:rsidP="00084F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koeficientai, jeigu pareigybės lygis A</w:t>
            </w:r>
          </w:p>
        </w:tc>
      </w:tr>
      <w:tr w:rsidR="00AE45FD" w14:paraId="795AF96A" w14:textId="77777777" w:rsidTr="00AC1089">
        <w:tc>
          <w:tcPr>
            <w:tcW w:w="3157" w:type="dxa"/>
            <w:vMerge w:val="restart"/>
          </w:tcPr>
          <w:p w14:paraId="373C95A7" w14:textId="3726F031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 ir mažiau pareigybių</w:t>
            </w:r>
          </w:p>
        </w:tc>
        <w:tc>
          <w:tcPr>
            <w:tcW w:w="3266" w:type="dxa"/>
          </w:tcPr>
          <w:p w14:paraId="2A46075A" w14:textId="33CACF5A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3266" w:type="dxa"/>
          </w:tcPr>
          <w:p w14:paraId="5B94DFCF" w14:textId="39DC3438" w:rsidR="00AE45FD" w:rsidRDefault="009338F4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11,42</w:t>
            </w:r>
            <w:r w:rsidR="00AE45FD">
              <w:rPr>
                <w:sz w:val="24"/>
                <w:szCs w:val="24"/>
                <w:lang w:val="lt-LT"/>
              </w:rPr>
              <w:t>–13,3</w:t>
            </w:r>
          </w:p>
        </w:tc>
      </w:tr>
      <w:tr w:rsidR="00AE45FD" w14:paraId="4A1C2D12" w14:textId="77777777" w:rsidTr="00AC1089">
        <w:tc>
          <w:tcPr>
            <w:tcW w:w="3157" w:type="dxa"/>
            <w:vMerge/>
          </w:tcPr>
          <w:p w14:paraId="0213A528" w14:textId="77777777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6B3A135" w14:textId="7080B8F9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3266" w:type="dxa"/>
          </w:tcPr>
          <w:p w14:paraId="743C5880" w14:textId="0F1A47CB" w:rsidR="00AE45FD" w:rsidRDefault="009338F4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11,59</w:t>
            </w:r>
            <w:r w:rsidR="00AE45FD">
              <w:rPr>
                <w:sz w:val="24"/>
                <w:szCs w:val="24"/>
                <w:lang w:val="lt-LT"/>
              </w:rPr>
              <w:t>–13,5</w:t>
            </w:r>
          </w:p>
        </w:tc>
      </w:tr>
      <w:tr w:rsidR="00AE45FD" w14:paraId="655B2B56" w14:textId="77777777" w:rsidTr="00AC1089">
        <w:tc>
          <w:tcPr>
            <w:tcW w:w="3157" w:type="dxa"/>
            <w:vMerge/>
          </w:tcPr>
          <w:p w14:paraId="2208BB4F" w14:textId="77777777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406835E" w14:textId="4AD1D2DC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</w:t>
            </w:r>
          </w:p>
        </w:tc>
        <w:tc>
          <w:tcPr>
            <w:tcW w:w="3266" w:type="dxa"/>
          </w:tcPr>
          <w:p w14:paraId="48EA736E" w14:textId="7CB21DA3" w:rsidR="00AE45FD" w:rsidRDefault="009338F4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11,77</w:t>
            </w:r>
            <w:r w:rsidR="00AE45FD">
              <w:rPr>
                <w:sz w:val="24"/>
                <w:szCs w:val="24"/>
                <w:lang w:val="lt-LT"/>
              </w:rPr>
              <w:t>–13,7</w:t>
            </w:r>
            <w:r w:rsidR="00101D01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4164BEE3" w14:textId="7B22C773" w:rsidR="00CE0027" w:rsidRDefault="00CE0027" w:rsidP="00D276B0">
      <w:pPr>
        <w:ind w:firstLine="851"/>
        <w:jc w:val="both"/>
        <w:rPr>
          <w:sz w:val="24"/>
          <w:szCs w:val="24"/>
          <w:lang w:val="lt-LT"/>
        </w:rPr>
      </w:pPr>
    </w:p>
    <w:p w14:paraId="0CA95F99" w14:textId="294E4A05" w:rsidR="00795434" w:rsidRDefault="0079543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9328A9">
        <w:rPr>
          <w:sz w:val="24"/>
          <w:szCs w:val="24"/>
          <w:lang w:val="lt-LT"/>
        </w:rPr>
        <w:t>Šio spendimo 1 ir 2 punktai įsigalioja 2022 m. sausio 1 d.</w:t>
      </w:r>
    </w:p>
    <w:p w14:paraId="4CB97B75" w14:textId="178A2207" w:rsidR="00295FBB" w:rsidRPr="00295FBB" w:rsidRDefault="009B2782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B22FB68" w14:textId="77777777" w:rsidR="0059118E" w:rsidRDefault="0059118E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9EE0A0" w14:textId="6D1C5228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A118211" w14:textId="5CB7712F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500AFE11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3A066F">
        <w:rPr>
          <w:b/>
          <w:bCs/>
          <w:kern w:val="32"/>
          <w:sz w:val="24"/>
          <w:szCs w:val="24"/>
          <w:lang w:val="lt-LT"/>
        </w:rPr>
        <w:t>DĖL ROKIŠKIO RAJONO SAVIVALDYBĖS TARYBOS 2021 M. KOVO 26 D. SPRENDIMO NR. TS-56 „DĖL ROKIŠKIO RAJONO SAVIVALDYBĖS ŠVIETIMO ĮSTAIGŲ VADOVŲ DARBO APMOKĖJIMO SISTEMOS PATVIRTINIMO“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36F4CEBD" w:rsidR="003A066F" w:rsidRPr="003A066F" w:rsidRDefault="003A066F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>Sprendimo projekto tikslas – pakeisti Rokiškio rajono savivaldybės švietimo įstaigų vadovų darb</w:t>
      </w:r>
      <w:r w:rsidR="00610BDD">
        <w:rPr>
          <w:bCs/>
          <w:sz w:val="24"/>
          <w:szCs w:val="24"/>
          <w:lang w:val="lt-LT"/>
        </w:rPr>
        <w:t>o apmokėjimo sistemos 1 ir 2 priedą</w:t>
      </w:r>
      <w:r w:rsidR="006F2773">
        <w:rPr>
          <w:bCs/>
          <w:sz w:val="24"/>
          <w:szCs w:val="24"/>
          <w:lang w:val="lt-LT"/>
        </w:rPr>
        <w:t xml:space="preserve"> (toliau – S</w:t>
      </w:r>
      <w:r w:rsidRPr="003A066F">
        <w:rPr>
          <w:bCs/>
          <w:sz w:val="24"/>
          <w:szCs w:val="24"/>
          <w:lang w:val="lt-LT"/>
        </w:rPr>
        <w:t xml:space="preserve">istema), patvirtintą Rokiškio </w:t>
      </w:r>
      <w:r>
        <w:rPr>
          <w:bCs/>
          <w:sz w:val="24"/>
          <w:szCs w:val="24"/>
          <w:lang w:val="lt-LT"/>
        </w:rPr>
        <w:t>rajono savivaldybės tarybos 2021 m. kovo 26 d. spr</w:t>
      </w:r>
      <w:r w:rsidR="00610BDD">
        <w:rPr>
          <w:bCs/>
          <w:sz w:val="24"/>
          <w:szCs w:val="24"/>
          <w:lang w:val="lt-LT"/>
        </w:rPr>
        <w:t>endimu Nr. TS-56, nes priimtas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valstybės ir savivaldybių įstaigų darbuotojų darbo apmokėjimo ir komisijų narių atlygio už darb</w:t>
      </w:r>
      <w:r w:rsidR="00610BDD">
        <w:rPr>
          <w:sz w:val="24"/>
          <w:szCs w:val="24"/>
          <w:lang w:val="lt-LT"/>
        </w:rPr>
        <w:t>ą įstatymo Nr. XIII-198 1, 3, 5, 6, 7, 9, 12, 14</w:t>
      </w:r>
      <w:r>
        <w:rPr>
          <w:sz w:val="24"/>
          <w:szCs w:val="24"/>
          <w:lang w:val="lt-LT"/>
        </w:rPr>
        <w:t xml:space="preserve"> straipsnių ir </w:t>
      </w:r>
      <w:r w:rsidR="00610BDD">
        <w:rPr>
          <w:sz w:val="24"/>
          <w:szCs w:val="24"/>
          <w:lang w:val="lt-LT"/>
        </w:rPr>
        <w:t>1, 2, 3, 4, 5 priedų</w:t>
      </w:r>
      <w:r>
        <w:rPr>
          <w:sz w:val="24"/>
          <w:szCs w:val="24"/>
          <w:lang w:val="lt-LT"/>
        </w:rPr>
        <w:t xml:space="preserve"> pakeitimo įstatymas.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7C34DDF7" w14:textId="63019DAE" w:rsidR="00D26423" w:rsidRDefault="00D26423" w:rsidP="00EA68D0">
      <w:pPr>
        <w:pStyle w:val="Default"/>
        <w:ind w:firstLine="851"/>
        <w:jc w:val="both"/>
      </w:pPr>
      <w:r w:rsidRPr="00EC72DD">
        <w:t>Lietuvos Respublikos vietos savivaldo</w:t>
      </w:r>
      <w:r w:rsidR="00E25C95">
        <w:t>s įstatymas,</w:t>
      </w:r>
      <w:r w:rsidR="00E25C95" w:rsidRPr="00E25C95">
        <w:t xml:space="preserve"> Lietuvos Respublikos valstybės ir savivaldybių įstaigų darbuotojų darbo apmokėjimo</w:t>
      </w:r>
      <w:r w:rsidR="00E25C95">
        <w:t xml:space="preserve"> ir komisijų narių atlygio už darbą</w:t>
      </w:r>
      <w:r w:rsidR="00E25C95" w:rsidRPr="00E25C95">
        <w:t xml:space="preserve"> įstatymas, Rokiškio rajono savivaldybės švietimo įstaigų vadovų darbo apmokėjimo sistema, patvirtinta Rokiškio </w:t>
      </w:r>
      <w:r w:rsidR="00E25C95">
        <w:t>rajono savivaldybės tarybos 2021 m. kovo 26</w:t>
      </w:r>
      <w:r w:rsidR="00E25C95" w:rsidRPr="00E25C95">
        <w:t xml:space="preserve"> d. sprendim</w:t>
      </w:r>
      <w:r w:rsidR="00E25C95">
        <w:t>u Nr. TS-56</w:t>
      </w:r>
      <w:r w:rsidR="00E25C95" w:rsidRPr="00E25C95">
        <w:t>.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0313EBB" w14:textId="60226803" w:rsidR="006F2773" w:rsidRDefault="00404F18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projekto</w:t>
      </w:r>
      <w:r w:rsidR="006F2773">
        <w:rPr>
          <w:sz w:val="24"/>
          <w:szCs w:val="24"/>
          <w:lang w:val="lt-LT"/>
        </w:rPr>
        <w:t>:</w:t>
      </w:r>
    </w:p>
    <w:p w14:paraId="6CFF47D2" w14:textId="40DFBD6B" w:rsidR="008F623C" w:rsidRDefault="00825226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3A08D5">
        <w:rPr>
          <w:sz w:val="24"/>
          <w:szCs w:val="24"/>
          <w:lang w:val="lt-LT"/>
        </w:rPr>
        <w:t>1 punkt</w:t>
      </w:r>
      <w:r w:rsidR="000A0A01">
        <w:rPr>
          <w:sz w:val="24"/>
          <w:szCs w:val="24"/>
          <w:lang w:val="lt-LT"/>
        </w:rPr>
        <w:t>e keičiamas Sistemos 1 priedas – p</w:t>
      </w:r>
      <w:r w:rsidR="003A08D5">
        <w:rPr>
          <w:sz w:val="24"/>
          <w:szCs w:val="24"/>
          <w:lang w:val="lt-LT"/>
        </w:rPr>
        <w:t>adidinti</w:t>
      </w:r>
      <w:r w:rsidR="007D6E1E">
        <w:rPr>
          <w:sz w:val="24"/>
          <w:szCs w:val="24"/>
          <w:lang w:val="lt-LT"/>
        </w:rPr>
        <w:t xml:space="preserve"> savivaldybės įstaigų vadovų</w:t>
      </w:r>
      <w:r w:rsidR="003A08D5">
        <w:rPr>
          <w:sz w:val="24"/>
          <w:szCs w:val="24"/>
          <w:lang w:val="lt-LT"/>
        </w:rPr>
        <w:t xml:space="preserve"> minimalūs pareiginės algos koeficientai</w:t>
      </w:r>
      <w:r w:rsidR="000A0A01">
        <w:rPr>
          <w:sz w:val="24"/>
          <w:szCs w:val="24"/>
          <w:lang w:val="lt-LT"/>
        </w:rPr>
        <w:t xml:space="preserve"> – 8,8; 8,9; 9; 8,5; 8,6; 8,7</w:t>
      </w:r>
      <w:r w:rsidR="003A08D5" w:rsidRPr="000F612F">
        <w:rPr>
          <w:sz w:val="24"/>
          <w:szCs w:val="24"/>
          <w:lang w:val="lt-LT"/>
        </w:rPr>
        <w:t xml:space="preserve"> (</w:t>
      </w:r>
      <w:r w:rsidR="000A0A01" w:rsidRPr="000F612F">
        <w:rPr>
          <w:sz w:val="24"/>
          <w:szCs w:val="24"/>
          <w:lang w:val="lt-LT"/>
        </w:rPr>
        <w:t>buvo 6,8; 6,9;</w:t>
      </w:r>
      <w:r w:rsidR="003A08D5" w:rsidRPr="000F612F">
        <w:rPr>
          <w:sz w:val="24"/>
          <w:szCs w:val="24"/>
          <w:lang w:val="lt-LT"/>
        </w:rPr>
        <w:t xml:space="preserve"> </w:t>
      </w:r>
      <w:r w:rsidR="000A0A01" w:rsidRPr="000F612F">
        <w:rPr>
          <w:sz w:val="24"/>
          <w:szCs w:val="24"/>
          <w:lang w:val="lt-LT"/>
        </w:rPr>
        <w:t>7; 6,5; 6,6; 6,7)</w:t>
      </w:r>
      <w:r w:rsidR="003A08D5" w:rsidRPr="000F612F">
        <w:rPr>
          <w:sz w:val="24"/>
          <w:szCs w:val="24"/>
          <w:lang w:val="lt-LT"/>
        </w:rPr>
        <w:t xml:space="preserve">. </w:t>
      </w:r>
      <w:r w:rsidR="003A08D5">
        <w:rPr>
          <w:sz w:val="24"/>
          <w:szCs w:val="24"/>
          <w:lang w:val="lt-LT"/>
        </w:rPr>
        <w:t>Pareiginės algos pastoviosios dalies koeficientų maksimali intervalo riba nepakeista.</w:t>
      </w:r>
    </w:p>
    <w:p w14:paraId="1686C46C" w14:textId="65D76049" w:rsidR="006F2773" w:rsidRPr="008F623C" w:rsidRDefault="00825226" w:rsidP="00015B6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8E4D9A">
        <w:rPr>
          <w:sz w:val="24"/>
          <w:szCs w:val="24"/>
          <w:lang w:val="lt-LT"/>
        </w:rPr>
        <w:t>2 punkte keičiamas Sistemos 2 priedas: 2.1 papunktyje pakeisti mokyklų vadovų pareiginės algos pastoviosios dalies koeficientai – pedagoginio darbo stažas iki 10 metų: 12,54; 13,7; 13,75; 14,75; 14,78 (buvo 10,71; 11;7; 11,74; 12,6; 12,62); pedagoginio darbo stažas nuo daugiau kaip 10 iki 15 metų: 13; 13,82; 13,84; 14,78; 14,8</w:t>
      </w:r>
      <w:r w:rsidR="00FC3521">
        <w:rPr>
          <w:sz w:val="24"/>
          <w:szCs w:val="24"/>
          <w:lang w:val="lt-LT"/>
        </w:rPr>
        <w:t xml:space="preserve"> (buvo 11,1; 11,8; 11,82; 12,62; 12,64); pedagoginio darbo stažas daugiau kaip 15 metų: 13,31; 13,83; 13,88; 14,81; 14,85 (buvo 11,37; 11,81; 11,85; 12,65; 12,68</w:t>
      </w:r>
      <w:r w:rsidR="00441F87">
        <w:rPr>
          <w:sz w:val="24"/>
          <w:szCs w:val="24"/>
          <w:lang w:val="lt-LT"/>
        </w:rPr>
        <w:t>),</w:t>
      </w:r>
      <w:r w:rsidR="00FC3521">
        <w:rPr>
          <w:sz w:val="24"/>
          <w:szCs w:val="24"/>
          <w:lang w:val="lt-LT"/>
        </w:rPr>
        <w:t xml:space="preserve"> 2.2 papunktyje padidinti minimalūs pagalbos įstaigų vadovų pareiginės algos koeficientai – 11,42; 11,59; 11,77 (buvo 9,75; 9,9; 10,05), koeficientų maks</w:t>
      </w:r>
      <w:r w:rsidR="00015B6F">
        <w:rPr>
          <w:sz w:val="24"/>
          <w:szCs w:val="24"/>
          <w:lang w:val="lt-LT"/>
        </w:rPr>
        <w:t>imali intervalo riba nepakeista</w:t>
      </w:r>
      <w:r w:rsidR="000850C2">
        <w:rPr>
          <w:sz w:val="24"/>
          <w:szCs w:val="24"/>
          <w:lang w:val="lt-LT"/>
        </w:rPr>
        <w:t>.</w:t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2929115E" w14:textId="663D05A0" w:rsidR="008F623C" w:rsidRDefault="00825226" w:rsidP="00825226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8F623C">
        <w:rPr>
          <w:sz w:val="24"/>
          <w:szCs w:val="24"/>
          <w:lang w:val="lt-LT"/>
        </w:rPr>
        <w:t>Švietimo įstaigų vadovų</w:t>
      </w:r>
      <w:r w:rsidR="008F623C" w:rsidRPr="008F623C">
        <w:rPr>
          <w:sz w:val="24"/>
          <w:szCs w:val="24"/>
          <w:lang w:val="lt-LT"/>
        </w:rPr>
        <w:t xml:space="preserve"> darbo apmokėjimas reglamentuotas galiojančiais</w:t>
      </w:r>
      <w:r w:rsidR="008F623C">
        <w:rPr>
          <w:sz w:val="24"/>
          <w:szCs w:val="24"/>
          <w:lang w:val="lt-LT"/>
        </w:rPr>
        <w:t xml:space="preserve"> ir aktualiais teisės </w:t>
      </w:r>
      <w:r w:rsidR="008F623C" w:rsidRPr="008F623C">
        <w:rPr>
          <w:sz w:val="24"/>
          <w:szCs w:val="24"/>
          <w:lang w:val="lt-LT"/>
        </w:rPr>
        <w:t>aktais.</w:t>
      </w:r>
      <w:r w:rsidR="00D276B0" w:rsidRPr="006E3D5D">
        <w:rPr>
          <w:b/>
          <w:sz w:val="24"/>
          <w:szCs w:val="24"/>
          <w:lang w:val="lt-LT"/>
        </w:rPr>
        <w:t xml:space="preserve">              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1CB78C0D" w14:textId="77734B62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</w:t>
      </w:r>
      <w:r w:rsidR="008F623C">
        <w:rPr>
          <w:bCs/>
        </w:rPr>
        <w:t xml:space="preserve">ir savivaldybės biudžeto </w:t>
      </w:r>
      <w:r w:rsidRPr="007657B7">
        <w:rPr>
          <w:bCs/>
        </w:rPr>
        <w:t>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59118E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43A49" w14:textId="77777777" w:rsidR="008D1023" w:rsidRDefault="008D1023">
      <w:r>
        <w:separator/>
      </w:r>
    </w:p>
  </w:endnote>
  <w:endnote w:type="continuationSeparator" w:id="0">
    <w:p w14:paraId="364E917F" w14:textId="77777777" w:rsidR="008D1023" w:rsidRDefault="008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D587" w14:textId="77777777" w:rsidR="008D1023" w:rsidRDefault="008D1023">
      <w:r>
        <w:separator/>
      </w:r>
    </w:p>
  </w:footnote>
  <w:footnote w:type="continuationSeparator" w:id="0">
    <w:p w14:paraId="79D7B158" w14:textId="77777777" w:rsidR="008D1023" w:rsidRDefault="008D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15AA"/>
    <w:rsid w:val="00035E8A"/>
    <w:rsid w:val="00036EC1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A0A01"/>
    <w:rsid w:val="000A2490"/>
    <w:rsid w:val="000A56FC"/>
    <w:rsid w:val="000A5D58"/>
    <w:rsid w:val="000B5445"/>
    <w:rsid w:val="000D4E10"/>
    <w:rsid w:val="000D575F"/>
    <w:rsid w:val="000D5DBA"/>
    <w:rsid w:val="000E2BBD"/>
    <w:rsid w:val="000F612F"/>
    <w:rsid w:val="00101D01"/>
    <w:rsid w:val="001038C4"/>
    <w:rsid w:val="001059F4"/>
    <w:rsid w:val="001129BE"/>
    <w:rsid w:val="00112CA9"/>
    <w:rsid w:val="00113C20"/>
    <w:rsid w:val="00117764"/>
    <w:rsid w:val="00120BAE"/>
    <w:rsid w:val="001213DF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D277E"/>
    <w:rsid w:val="001D4E78"/>
    <w:rsid w:val="001E124E"/>
    <w:rsid w:val="001E755B"/>
    <w:rsid w:val="001F3805"/>
    <w:rsid w:val="001F3895"/>
    <w:rsid w:val="00206205"/>
    <w:rsid w:val="00223B2F"/>
    <w:rsid w:val="0022614D"/>
    <w:rsid w:val="00251513"/>
    <w:rsid w:val="00252934"/>
    <w:rsid w:val="00256066"/>
    <w:rsid w:val="002717F6"/>
    <w:rsid w:val="00273D93"/>
    <w:rsid w:val="0028077D"/>
    <w:rsid w:val="00280B6C"/>
    <w:rsid w:val="0028302F"/>
    <w:rsid w:val="00295C8B"/>
    <w:rsid w:val="00295FBB"/>
    <w:rsid w:val="002A36E9"/>
    <w:rsid w:val="002B21A1"/>
    <w:rsid w:val="002B4ADE"/>
    <w:rsid w:val="002B55F6"/>
    <w:rsid w:val="002C227A"/>
    <w:rsid w:val="002C4706"/>
    <w:rsid w:val="002C5A5E"/>
    <w:rsid w:val="002C7A7D"/>
    <w:rsid w:val="002D1C8D"/>
    <w:rsid w:val="002D2A7B"/>
    <w:rsid w:val="002E0BD5"/>
    <w:rsid w:val="002E36B0"/>
    <w:rsid w:val="002F04C9"/>
    <w:rsid w:val="002F3AA1"/>
    <w:rsid w:val="00310715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2703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FE0"/>
    <w:rsid w:val="00435287"/>
    <w:rsid w:val="00441928"/>
    <w:rsid w:val="00441F87"/>
    <w:rsid w:val="00454130"/>
    <w:rsid w:val="00466B0A"/>
    <w:rsid w:val="00471595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50375B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90F26"/>
    <w:rsid w:val="0059118E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235D5"/>
    <w:rsid w:val="0062677E"/>
    <w:rsid w:val="00634C35"/>
    <w:rsid w:val="00642440"/>
    <w:rsid w:val="00650E19"/>
    <w:rsid w:val="00657D3D"/>
    <w:rsid w:val="0067194A"/>
    <w:rsid w:val="00690DEA"/>
    <w:rsid w:val="00691869"/>
    <w:rsid w:val="006A2DAF"/>
    <w:rsid w:val="006A760B"/>
    <w:rsid w:val="006B145C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62048"/>
    <w:rsid w:val="007726AD"/>
    <w:rsid w:val="00791DED"/>
    <w:rsid w:val="00795434"/>
    <w:rsid w:val="007A1C45"/>
    <w:rsid w:val="007A5D76"/>
    <w:rsid w:val="007B0168"/>
    <w:rsid w:val="007B21DD"/>
    <w:rsid w:val="007B39C1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39F3"/>
    <w:rsid w:val="00874B5C"/>
    <w:rsid w:val="00876977"/>
    <w:rsid w:val="008772FA"/>
    <w:rsid w:val="008777CF"/>
    <w:rsid w:val="00880DC0"/>
    <w:rsid w:val="0088180C"/>
    <w:rsid w:val="00881D26"/>
    <w:rsid w:val="00883412"/>
    <w:rsid w:val="00886ED2"/>
    <w:rsid w:val="00891BB7"/>
    <w:rsid w:val="008948BD"/>
    <w:rsid w:val="008A3875"/>
    <w:rsid w:val="008C3749"/>
    <w:rsid w:val="008C39F5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12BDD"/>
    <w:rsid w:val="00915EF0"/>
    <w:rsid w:val="00917406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81935"/>
    <w:rsid w:val="00A92EAF"/>
    <w:rsid w:val="00AA205A"/>
    <w:rsid w:val="00AC1089"/>
    <w:rsid w:val="00AC2174"/>
    <w:rsid w:val="00AC6EFA"/>
    <w:rsid w:val="00AC7F3B"/>
    <w:rsid w:val="00AD2373"/>
    <w:rsid w:val="00AE0B3A"/>
    <w:rsid w:val="00AE31EA"/>
    <w:rsid w:val="00AE45FD"/>
    <w:rsid w:val="00AE61B8"/>
    <w:rsid w:val="00AF0F2B"/>
    <w:rsid w:val="00B0275C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B0AEE"/>
    <w:rsid w:val="00BB3C1D"/>
    <w:rsid w:val="00BB4416"/>
    <w:rsid w:val="00BB5448"/>
    <w:rsid w:val="00BD2B91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34648"/>
    <w:rsid w:val="00C40FEB"/>
    <w:rsid w:val="00C43834"/>
    <w:rsid w:val="00C449E3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7A49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277D6"/>
    <w:rsid w:val="00D32394"/>
    <w:rsid w:val="00D35D16"/>
    <w:rsid w:val="00D51281"/>
    <w:rsid w:val="00D65E62"/>
    <w:rsid w:val="00D773A4"/>
    <w:rsid w:val="00D95AB6"/>
    <w:rsid w:val="00D9755F"/>
    <w:rsid w:val="00DB1B80"/>
    <w:rsid w:val="00DB35CE"/>
    <w:rsid w:val="00DB7744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50C3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12E2A"/>
    <w:rsid w:val="00F26541"/>
    <w:rsid w:val="00F268E7"/>
    <w:rsid w:val="00F30B0A"/>
    <w:rsid w:val="00F31415"/>
    <w:rsid w:val="00F441AA"/>
    <w:rsid w:val="00F514AF"/>
    <w:rsid w:val="00F51557"/>
    <w:rsid w:val="00F521E0"/>
    <w:rsid w:val="00F5672D"/>
    <w:rsid w:val="00F60BC9"/>
    <w:rsid w:val="00F629CF"/>
    <w:rsid w:val="00F633D1"/>
    <w:rsid w:val="00F726F0"/>
    <w:rsid w:val="00F73E08"/>
    <w:rsid w:val="00F80D4B"/>
    <w:rsid w:val="00F816A8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806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2021-09-03T09:15:00Z</cp:lastPrinted>
  <dcterms:created xsi:type="dcterms:W3CDTF">2021-12-13T13:43:00Z</dcterms:created>
  <dcterms:modified xsi:type="dcterms:W3CDTF">2021-12-13T13:43:00Z</dcterms:modified>
</cp:coreProperties>
</file>