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54705" w14:textId="0922DE0A" w:rsidR="00737C7D" w:rsidRPr="00EE26F6" w:rsidRDefault="007A1C45" w:rsidP="00D276B0">
      <w:pPr>
        <w:jc w:val="center"/>
        <w:rPr>
          <w:b/>
          <w:bCs/>
          <w:kern w:val="32"/>
          <w:sz w:val="24"/>
          <w:szCs w:val="24"/>
          <w:lang w:val="lt-LT"/>
        </w:rPr>
      </w:pPr>
      <w:r>
        <w:rPr>
          <w:b/>
          <w:bCs/>
          <w:kern w:val="32"/>
          <w:sz w:val="24"/>
          <w:szCs w:val="24"/>
          <w:lang w:val="lt-LT"/>
        </w:rPr>
        <w:t xml:space="preserve">DĖL </w:t>
      </w:r>
      <w:r w:rsidR="00C07F07">
        <w:rPr>
          <w:b/>
          <w:bCs/>
          <w:kern w:val="32"/>
          <w:sz w:val="24"/>
          <w:szCs w:val="24"/>
          <w:lang w:val="lt-LT"/>
        </w:rPr>
        <w:t xml:space="preserve">ROKIŠKIO RAJONO </w:t>
      </w:r>
      <w:r w:rsidR="008353BD">
        <w:rPr>
          <w:b/>
          <w:bCs/>
          <w:kern w:val="32"/>
          <w:sz w:val="24"/>
          <w:szCs w:val="24"/>
          <w:lang w:val="lt-LT"/>
        </w:rPr>
        <w:t>SAVIVALDYBĖS TARYBOS 2021 M. KOVO 26 D. SPRENDIMO NR. TS-56</w:t>
      </w:r>
      <w:r w:rsidR="00C07F07">
        <w:rPr>
          <w:b/>
          <w:bCs/>
          <w:kern w:val="32"/>
          <w:sz w:val="24"/>
          <w:szCs w:val="24"/>
          <w:lang w:val="lt-LT"/>
        </w:rPr>
        <w:t xml:space="preserve"> „DĖL</w:t>
      </w:r>
      <w:r w:rsidR="008353BD">
        <w:rPr>
          <w:b/>
          <w:bCs/>
          <w:kern w:val="32"/>
          <w:sz w:val="24"/>
          <w:szCs w:val="24"/>
          <w:lang w:val="lt-LT"/>
        </w:rPr>
        <w:t xml:space="preserve"> ROKIŠKIO RAJONO SAVIVALDYBĖS ŠVIETIMO ĮSTAIGŲ VADOVŲ DARBO APMOKĖJIMO SISTEMOS PATVIRTINIMO</w:t>
      </w:r>
      <w:r w:rsidR="00591615">
        <w:rPr>
          <w:b/>
          <w:bCs/>
          <w:kern w:val="32"/>
          <w:sz w:val="24"/>
          <w:szCs w:val="24"/>
          <w:lang w:val="lt-LT"/>
        </w:rPr>
        <w:t>“</w:t>
      </w:r>
      <w:r w:rsidR="00C07F07">
        <w:rPr>
          <w:b/>
          <w:bCs/>
          <w:kern w:val="32"/>
          <w:sz w:val="24"/>
          <w:szCs w:val="24"/>
          <w:lang w:val="lt-LT"/>
        </w:rPr>
        <w:t xml:space="preserve"> PAKEITIMO</w:t>
      </w:r>
    </w:p>
    <w:p w14:paraId="68C54706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145839FF" w:rsidR="00D276B0" w:rsidRPr="0017751A" w:rsidRDefault="00C90E37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</w:t>
      </w:r>
      <w:r w:rsidR="0018111A">
        <w:rPr>
          <w:sz w:val="24"/>
          <w:szCs w:val="24"/>
          <w:lang w:val="lt-LT"/>
        </w:rPr>
        <w:t xml:space="preserve"> m. lapkričio 26</w:t>
      </w:r>
      <w:r w:rsidR="00D276B0" w:rsidRPr="0017751A">
        <w:rPr>
          <w:sz w:val="24"/>
          <w:szCs w:val="24"/>
          <w:lang w:val="lt-LT"/>
        </w:rPr>
        <w:t xml:space="preserve"> d. Nr. TS-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9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B" w14:textId="0041EC8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Pr="00027D13">
        <w:rPr>
          <w:sz w:val="24"/>
          <w:szCs w:val="24"/>
          <w:lang w:val="lt-LT"/>
        </w:rPr>
        <w:t xml:space="preserve"> Lietuvos Respublik</w:t>
      </w:r>
      <w:r w:rsidR="002C227A">
        <w:rPr>
          <w:sz w:val="24"/>
          <w:szCs w:val="24"/>
          <w:lang w:val="lt-LT"/>
        </w:rPr>
        <w:t>os vietos savivaldos įstatymo</w:t>
      </w:r>
      <w:r w:rsidR="003E684C">
        <w:rPr>
          <w:sz w:val="24"/>
          <w:szCs w:val="24"/>
          <w:lang w:val="lt-LT"/>
        </w:rPr>
        <w:t xml:space="preserve"> 18 straipsnio 1 dalimi, </w:t>
      </w:r>
      <w:r w:rsidR="008353BD">
        <w:rPr>
          <w:sz w:val="24"/>
          <w:szCs w:val="24"/>
          <w:lang w:val="lt-LT"/>
        </w:rPr>
        <w:t xml:space="preserve">Lietuvos Respublikos valstybės ir savivaldybių įstaigų darbuotojų darbo apmokėjimo ir komisijų narių atlygio už darbą įstatymo Nr. XIII-198 7, 8, 14 straipsnių ir 5 priedo pakeitimo įstatymu, </w:t>
      </w: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58823FC5" w14:textId="627CC5D0" w:rsidR="0039149B" w:rsidRDefault="008E48D2" w:rsidP="0038401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38401C">
        <w:rPr>
          <w:sz w:val="24"/>
          <w:szCs w:val="24"/>
          <w:lang w:val="lt-LT"/>
        </w:rPr>
        <w:t>Pakeisti</w:t>
      </w:r>
      <w:r w:rsidR="00883412">
        <w:rPr>
          <w:sz w:val="24"/>
          <w:szCs w:val="24"/>
          <w:lang w:val="lt-LT"/>
        </w:rPr>
        <w:t xml:space="preserve"> Rokiškio rajono savivaldybės švietimo įstaigų vadovų darbo apmokėjimo sistemos, patvirtintos</w:t>
      </w:r>
      <w:r w:rsidR="0038401C">
        <w:rPr>
          <w:sz w:val="24"/>
          <w:szCs w:val="24"/>
          <w:lang w:val="lt-LT"/>
        </w:rPr>
        <w:t xml:space="preserve"> </w:t>
      </w:r>
      <w:r w:rsidR="0038401C" w:rsidRPr="00883412">
        <w:rPr>
          <w:sz w:val="24"/>
          <w:szCs w:val="24"/>
          <w:lang w:val="lt-LT"/>
        </w:rPr>
        <w:t>Rokiškio</w:t>
      </w:r>
      <w:r w:rsidR="0038401C" w:rsidRPr="00397521">
        <w:rPr>
          <w:sz w:val="24"/>
          <w:szCs w:val="24"/>
          <w:lang w:val="lt-LT"/>
        </w:rPr>
        <w:t xml:space="preserve"> </w:t>
      </w:r>
      <w:r w:rsidR="0038401C">
        <w:rPr>
          <w:sz w:val="24"/>
          <w:szCs w:val="24"/>
          <w:lang w:val="lt-LT"/>
        </w:rPr>
        <w:t>rajono savival</w:t>
      </w:r>
      <w:r w:rsidR="00521BF5">
        <w:rPr>
          <w:sz w:val="24"/>
          <w:szCs w:val="24"/>
          <w:lang w:val="lt-LT"/>
        </w:rPr>
        <w:t>dybės tary</w:t>
      </w:r>
      <w:r w:rsidR="00883412">
        <w:rPr>
          <w:sz w:val="24"/>
          <w:szCs w:val="24"/>
          <w:lang w:val="lt-LT"/>
        </w:rPr>
        <w:t>bos 2021 m. kovo 26 d. sprendimu</w:t>
      </w:r>
      <w:r w:rsidR="00521BF5">
        <w:rPr>
          <w:sz w:val="24"/>
          <w:szCs w:val="24"/>
          <w:lang w:val="lt-LT"/>
        </w:rPr>
        <w:t xml:space="preserve">  Nr. TS-56 „Dėl Rokiškio rajono savivaldybės švietimo įstaigų vadovų darbo apmokėjimo sistemos patvirtinimo</w:t>
      </w:r>
      <w:r w:rsidR="0038401C" w:rsidRPr="005F1516">
        <w:rPr>
          <w:sz w:val="24"/>
          <w:szCs w:val="24"/>
          <w:lang w:val="lt-LT"/>
        </w:rPr>
        <w:t>“</w:t>
      </w:r>
      <w:r w:rsidR="00A539D2">
        <w:rPr>
          <w:sz w:val="24"/>
          <w:szCs w:val="24"/>
          <w:lang w:val="lt-LT"/>
        </w:rPr>
        <w:t>, 24.4 papunktį</w:t>
      </w:r>
      <w:r w:rsidR="00C34648">
        <w:rPr>
          <w:sz w:val="24"/>
          <w:szCs w:val="24"/>
          <w:lang w:val="lt-LT"/>
        </w:rPr>
        <w:t xml:space="preserve"> </w:t>
      </w:r>
      <w:r w:rsidR="0038401C">
        <w:rPr>
          <w:sz w:val="24"/>
          <w:szCs w:val="24"/>
          <w:lang w:val="lt-LT"/>
        </w:rPr>
        <w:t>ir</w:t>
      </w:r>
      <w:r w:rsidR="00A539D2">
        <w:rPr>
          <w:sz w:val="24"/>
          <w:szCs w:val="24"/>
          <w:lang w:val="lt-LT"/>
        </w:rPr>
        <w:t xml:space="preserve"> jį</w:t>
      </w:r>
      <w:r w:rsidR="00C34648">
        <w:rPr>
          <w:sz w:val="24"/>
          <w:szCs w:val="24"/>
          <w:lang w:val="lt-LT"/>
        </w:rPr>
        <w:t xml:space="preserve"> išdėstyti taip</w:t>
      </w:r>
      <w:r w:rsidR="0038401C">
        <w:rPr>
          <w:sz w:val="24"/>
          <w:szCs w:val="24"/>
          <w:lang w:val="lt-LT"/>
        </w:rPr>
        <w:t>:</w:t>
      </w:r>
    </w:p>
    <w:p w14:paraId="1CB3EC7A" w14:textId="03BFF40E" w:rsidR="00D9755F" w:rsidRPr="00397521" w:rsidRDefault="0028077D" w:rsidP="00B42104">
      <w:pPr>
        <w:ind w:firstLine="720"/>
        <w:jc w:val="both"/>
        <w:rPr>
          <w:color w:val="000000"/>
          <w:sz w:val="24"/>
          <w:szCs w:val="24"/>
          <w:bdr w:val="none" w:sz="0" w:space="0" w:color="auto" w:frame="1"/>
          <w:lang w:val="lt-LT"/>
        </w:rPr>
      </w:pPr>
      <w:r w:rsidRPr="00B42104">
        <w:rPr>
          <w:sz w:val="24"/>
          <w:szCs w:val="24"/>
          <w:lang w:val="lt-LT"/>
        </w:rPr>
        <w:t>„24.4. nepatenkinamai, – biudžetinės įstaigos vadovui, išskyrus mokyklos vadovą, iki kito biudžetinės įstaigos</w:t>
      </w:r>
      <w:r w:rsidR="00404623" w:rsidRPr="00B42104">
        <w:rPr>
          <w:sz w:val="24"/>
          <w:szCs w:val="24"/>
          <w:lang w:val="lt-LT"/>
        </w:rPr>
        <w:t xml:space="preserve"> vadovo</w:t>
      </w:r>
      <w:r w:rsidRPr="00B42104">
        <w:rPr>
          <w:sz w:val="24"/>
          <w:szCs w:val="24"/>
          <w:lang w:val="lt-LT"/>
        </w:rPr>
        <w:t xml:space="preserve"> kasmetinio veiklo</w:t>
      </w:r>
      <w:r w:rsidR="00404623" w:rsidRPr="00B42104">
        <w:rPr>
          <w:sz w:val="24"/>
          <w:szCs w:val="24"/>
          <w:lang w:val="lt-LT"/>
        </w:rPr>
        <w:t>s vertinimo nustato</w:t>
      </w:r>
      <w:r w:rsidRPr="00B42104">
        <w:rPr>
          <w:sz w:val="24"/>
          <w:szCs w:val="24"/>
          <w:lang w:val="lt-LT"/>
        </w:rPr>
        <w:t xml:space="preserve"> mažesnį pareiginės algos pastoviosios dalies koeficientą, tačiau ne mažesnį, negu šios Sistemos 1 priede tai pareigybei pagal vadovaujamo darbo patirtį numatytas minimalus koeficientas, </w:t>
      </w:r>
      <w:r w:rsidR="00404623" w:rsidRPr="00B42104">
        <w:rPr>
          <w:color w:val="000000"/>
          <w:sz w:val="24"/>
          <w:szCs w:val="24"/>
          <w:lang w:val="lt-LT"/>
        </w:rPr>
        <w:t>mokyklos vadovui iki kito biudžetinės įstaigos vadovo kasmetinio veiklos vertinimo nustato vienetu mažesnį pareiginės algos pastoviosios dalies koeficientą.</w:t>
      </w:r>
      <w:r w:rsidR="00404623" w:rsidRPr="00B42104">
        <w:rPr>
          <w:sz w:val="24"/>
          <w:szCs w:val="24"/>
          <w:lang w:val="lt-LT"/>
        </w:rPr>
        <w:t xml:space="preserve"> S</w:t>
      </w:r>
      <w:r w:rsidRPr="00B42104">
        <w:rPr>
          <w:sz w:val="24"/>
          <w:szCs w:val="24"/>
          <w:lang w:val="lt-LT"/>
        </w:rPr>
        <w:t>u biudžetinės įstaigos vadovu</w:t>
      </w:r>
      <w:r w:rsidR="00D9755F" w:rsidRPr="00B42104">
        <w:rPr>
          <w:sz w:val="24"/>
          <w:szCs w:val="24"/>
          <w:lang w:val="lt-LT"/>
        </w:rPr>
        <w:t xml:space="preserve"> gali būti sudarytas</w:t>
      </w:r>
      <w:r w:rsidRPr="00B42104">
        <w:rPr>
          <w:sz w:val="24"/>
          <w:szCs w:val="24"/>
          <w:lang w:val="lt-LT"/>
        </w:rPr>
        <w:t xml:space="preserve"> rezultatų gerinimo planą (pagal Darbo kodekso 57 straipsnio 5 dalį), kurio vykdymas įvertinamas ne anksčiau kaip po 2 m</w:t>
      </w:r>
      <w:r w:rsidR="00D9755F" w:rsidRPr="00B42104">
        <w:rPr>
          <w:sz w:val="24"/>
          <w:szCs w:val="24"/>
          <w:lang w:val="lt-LT"/>
        </w:rPr>
        <w:t xml:space="preserve">ėnesių. </w:t>
      </w:r>
      <w:r w:rsidR="00D9755F" w:rsidRPr="00B42104">
        <w:rPr>
          <w:color w:val="000000"/>
          <w:sz w:val="24"/>
          <w:szCs w:val="24"/>
          <w:bdr w:val="none" w:sz="0" w:space="0" w:color="auto" w:frame="1"/>
          <w:lang w:val="lt-LT"/>
        </w:rPr>
        <w:t>Rezultatų gerinimo plano vykdymo rezultatus įvertinus nepatenkinamai, su biudžetinės įstaigos vadovu</w:t>
      </w:r>
      <w:r w:rsidR="00D9755F" w:rsidRPr="00B42104">
        <w:rPr>
          <w:b/>
          <w:bCs/>
          <w:color w:val="000000"/>
          <w:sz w:val="24"/>
          <w:szCs w:val="24"/>
          <w:bdr w:val="none" w:sz="0" w:space="0" w:color="auto" w:frame="1"/>
          <w:lang w:val="lt-LT"/>
        </w:rPr>
        <w:t xml:space="preserve"> </w:t>
      </w:r>
      <w:r w:rsidR="00D9755F" w:rsidRPr="00B42104">
        <w:rPr>
          <w:color w:val="000000"/>
          <w:sz w:val="24"/>
          <w:szCs w:val="24"/>
          <w:bdr w:val="none" w:sz="0" w:space="0" w:color="auto" w:frame="1"/>
          <w:lang w:val="lt-LT"/>
        </w:rPr>
        <w:t>gali būti nutraukiama darbo sutartis pagal Darbo kodekso 57 straipsnio 1 dalies 2 punktą“</w:t>
      </w:r>
      <w:r w:rsidR="00406170">
        <w:rPr>
          <w:color w:val="000000"/>
          <w:sz w:val="24"/>
          <w:szCs w:val="24"/>
          <w:bdr w:val="none" w:sz="0" w:space="0" w:color="auto" w:frame="1"/>
          <w:lang w:val="lt-LT"/>
        </w:rPr>
        <w:t>.</w:t>
      </w:r>
    </w:p>
    <w:p w14:paraId="10C6E9E7" w14:textId="235EF398" w:rsidR="00406170" w:rsidRDefault="00406170" w:rsidP="0040617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</w:t>
      </w:r>
      <w:r w:rsidRPr="0040617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Pakeisti Rokiškio rajono savivaldybės švietimo įstaigų vadovų darbo apmokėjimo sistemos, patvirtintos </w:t>
      </w:r>
      <w:r w:rsidRPr="00883412">
        <w:rPr>
          <w:sz w:val="24"/>
          <w:szCs w:val="24"/>
          <w:lang w:val="lt-LT"/>
        </w:rPr>
        <w:t>Rokiškio</w:t>
      </w:r>
      <w:r w:rsidRPr="0039752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rajono savivaldybės tarybos 2021 m. kovo 26 d. sprendimu  Nr. TS-56 „Dėl Rokiškio rajono savivaldybės švietimo įstaigų vadovų darbo apmokėjimo sistemos patvirtinimo</w:t>
      </w:r>
      <w:r w:rsidRPr="005F1516">
        <w:rPr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>, 2 priedo pavadinimą ir jį išdėstyti taip:</w:t>
      </w:r>
    </w:p>
    <w:p w14:paraId="5403FF26" w14:textId="3E5FB6AB" w:rsidR="0028077D" w:rsidRPr="001129BE" w:rsidRDefault="00406170" w:rsidP="0038401C">
      <w:pPr>
        <w:ind w:firstLine="851"/>
        <w:jc w:val="both"/>
        <w:rPr>
          <w:sz w:val="24"/>
          <w:szCs w:val="24"/>
          <w:lang w:val="lt-LT"/>
        </w:rPr>
      </w:pPr>
      <w:r w:rsidRPr="001129BE">
        <w:rPr>
          <w:sz w:val="24"/>
          <w:szCs w:val="24"/>
          <w:lang w:val="lt-LT"/>
        </w:rPr>
        <w:t>„</w:t>
      </w:r>
      <w:r w:rsidRPr="001129BE">
        <w:rPr>
          <w:b/>
          <w:sz w:val="24"/>
          <w:szCs w:val="24"/>
          <w:lang w:val="lt-LT"/>
        </w:rPr>
        <w:t>MOKYKLŲ VADOVŲ IR ŠVIETIMO PAGALBOS ĮSTAIGŲ VADOVŲ, KURIŲ DARBAS LAIKOMAS PEDAGOGINIU, PAREIGINĖS ALGOS PASTOVIOSIOS DALIES KOEFICIENTAI</w:t>
      </w:r>
      <w:r w:rsidRPr="001129BE">
        <w:rPr>
          <w:sz w:val="24"/>
          <w:szCs w:val="24"/>
          <w:lang w:val="lt-LT"/>
        </w:rPr>
        <w:t>“.</w:t>
      </w:r>
    </w:p>
    <w:p w14:paraId="78EF8D78" w14:textId="6DB23045" w:rsidR="00406170" w:rsidRPr="00406170" w:rsidRDefault="00406170" w:rsidP="0038401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Papildyti Rokiškio rajono savivaldybės švietimo įstaigų vadovų darbo apmokėjimo sistemą, patvirtintą </w:t>
      </w:r>
      <w:r w:rsidRPr="00883412">
        <w:rPr>
          <w:sz w:val="24"/>
          <w:szCs w:val="24"/>
          <w:lang w:val="lt-LT"/>
        </w:rPr>
        <w:t>Rokiškio</w:t>
      </w:r>
      <w:r w:rsidRPr="0039752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rajono savivaldybės tarybos 2021 m. kovo 26 d. sprendimu  Nr. TS-56 „Dėl Rokiškio rajono savivaldybės švietimo įstaigų vadovų darbo apmokėjimo sistemos patvirtinimo</w:t>
      </w:r>
      <w:r w:rsidRPr="005F1516">
        <w:rPr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>, 11.1</w:t>
      </w:r>
      <w:r w:rsidRPr="00397521">
        <w:rPr>
          <w:color w:val="000000"/>
          <w:szCs w:val="24"/>
          <w:vertAlign w:val="superscript"/>
          <w:lang w:val="lt-LT"/>
        </w:rPr>
        <w:t>1</w:t>
      </w:r>
      <w:r>
        <w:rPr>
          <w:sz w:val="24"/>
          <w:szCs w:val="24"/>
          <w:lang w:val="lt-LT"/>
        </w:rPr>
        <w:t xml:space="preserve"> papunkčiu ir jį išdėstyti taip:</w:t>
      </w:r>
    </w:p>
    <w:p w14:paraId="55E0FECF" w14:textId="1B96D040" w:rsidR="0039149B" w:rsidRDefault="0039149B" w:rsidP="0038401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</w:t>
      </w:r>
      <w:r w:rsidR="007C5791">
        <w:rPr>
          <w:sz w:val="24"/>
          <w:szCs w:val="24"/>
          <w:lang w:val="lt-LT"/>
        </w:rPr>
        <w:t>11</w:t>
      </w:r>
      <w:r>
        <w:rPr>
          <w:sz w:val="24"/>
          <w:szCs w:val="24"/>
          <w:lang w:val="lt-LT"/>
        </w:rPr>
        <w:t>.1</w:t>
      </w:r>
      <w:r w:rsidR="00E41615" w:rsidRPr="00397521">
        <w:rPr>
          <w:color w:val="000000"/>
          <w:szCs w:val="24"/>
          <w:vertAlign w:val="superscript"/>
          <w:lang w:val="lt-LT"/>
        </w:rPr>
        <w:t>1</w:t>
      </w:r>
      <w:r w:rsidR="008E2D6D">
        <w:rPr>
          <w:sz w:val="24"/>
          <w:szCs w:val="24"/>
          <w:lang w:val="lt-LT"/>
        </w:rPr>
        <w:t xml:space="preserve">. švietimo pagalbos įstaigų </w:t>
      </w:r>
      <w:r w:rsidR="001B29E7">
        <w:rPr>
          <w:sz w:val="24"/>
          <w:szCs w:val="24"/>
          <w:lang w:val="lt-LT"/>
        </w:rPr>
        <w:t>vadovų</w:t>
      </w:r>
      <w:r w:rsidR="008E2D6D">
        <w:rPr>
          <w:sz w:val="24"/>
          <w:szCs w:val="24"/>
          <w:lang w:val="lt-LT"/>
        </w:rPr>
        <w:t>, kurių darbas laikomas pedagoginiu,</w:t>
      </w:r>
      <w:r w:rsidR="001B29E7">
        <w:rPr>
          <w:sz w:val="24"/>
          <w:szCs w:val="24"/>
          <w:lang w:val="lt-LT"/>
        </w:rPr>
        <w:t xml:space="preserve"> pareiginės algos pastovioji dalis nustatoma pagal Sistemos 2 priedą</w:t>
      </w:r>
      <w:r w:rsidR="008E2D6D">
        <w:rPr>
          <w:sz w:val="24"/>
          <w:szCs w:val="24"/>
          <w:lang w:val="lt-LT"/>
        </w:rPr>
        <w:t xml:space="preserve">, </w:t>
      </w:r>
      <w:r w:rsidR="008E2D6D" w:rsidRPr="008E2D6D">
        <w:rPr>
          <w:bCs/>
          <w:sz w:val="24"/>
          <w:szCs w:val="24"/>
          <w:lang w:val="lt-LT"/>
        </w:rPr>
        <w:t>atsižvelgiant į pareigybių sąraše nustatytą darbuotojų pareigybių skaičių, vadovaujamo darbo patirtį, kuri apskaičiuojama sumuojant laikotarpius, kai buvo vadovaujama įmonėms, įstaigoms, organizacijoms ir (ar) jų padali</w:t>
      </w:r>
      <w:r w:rsidR="00273D93">
        <w:rPr>
          <w:bCs/>
          <w:sz w:val="24"/>
          <w:szCs w:val="24"/>
          <w:lang w:val="lt-LT"/>
        </w:rPr>
        <w:t>niams</w:t>
      </w:r>
      <w:r w:rsidR="008E2D6D" w:rsidRPr="008E2D6D">
        <w:rPr>
          <w:sz w:val="24"/>
          <w:szCs w:val="24"/>
          <w:lang w:val="lt-LT"/>
        </w:rPr>
        <w:t>“</w:t>
      </w:r>
      <w:r w:rsidR="00CD38C7">
        <w:rPr>
          <w:sz w:val="24"/>
          <w:szCs w:val="24"/>
          <w:lang w:val="lt-LT"/>
        </w:rPr>
        <w:t>.</w:t>
      </w:r>
    </w:p>
    <w:p w14:paraId="1AC130F1" w14:textId="2ED807C7" w:rsidR="00CD38C7" w:rsidRPr="00406170" w:rsidRDefault="00CD38C7" w:rsidP="00CD38C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 Papildyti Rokiškio rajono savivaldybės švietimo įstaigų vadovų darbo apmokėjimo sistemos, patvirtintos </w:t>
      </w:r>
      <w:r w:rsidRPr="00883412">
        <w:rPr>
          <w:sz w:val="24"/>
          <w:szCs w:val="24"/>
          <w:lang w:val="lt-LT"/>
        </w:rPr>
        <w:t>Rokiškio</w:t>
      </w:r>
      <w:r w:rsidRPr="0039752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rajono savivaldybės tarybos 2021 m. kovo 26 d. sprendimu  Nr. TS-56 „Dėl Rokiškio rajono savivaldybės švietimo įstaigų vadovų darbo apmokėjimo sistemos patvirtinimo</w:t>
      </w:r>
      <w:r w:rsidRPr="005F1516">
        <w:rPr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>, 2 priedą 1</w:t>
      </w:r>
      <w:r w:rsidRPr="00397521">
        <w:rPr>
          <w:color w:val="000000"/>
          <w:szCs w:val="24"/>
          <w:vertAlign w:val="superscript"/>
          <w:lang w:val="lt-LT"/>
        </w:rPr>
        <w:t>1</w:t>
      </w:r>
      <w:r w:rsidR="00826C1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pun</w:t>
      </w:r>
      <w:r w:rsidR="00826C1A">
        <w:rPr>
          <w:sz w:val="24"/>
          <w:szCs w:val="24"/>
          <w:lang w:val="lt-LT"/>
        </w:rPr>
        <w:t>ktu</w:t>
      </w:r>
      <w:r>
        <w:rPr>
          <w:sz w:val="24"/>
          <w:szCs w:val="24"/>
          <w:lang w:val="lt-LT"/>
        </w:rPr>
        <w:t xml:space="preserve"> ir jį išdėstyti taip:</w:t>
      </w:r>
    </w:p>
    <w:p w14:paraId="7D32D94B" w14:textId="4005C98E" w:rsidR="00AC1089" w:rsidRDefault="00AC1089" w:rsidP="0038401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„1</w:t>
      </w:r>
      <w:r w:rsidRPr="00397521">
        <w:rPr>
          <w:color w:val="000000"/>
          <w:szCs w:val="24"/>
          <w:vertAlign w:val="superscript"/>
          <w:lang w:val="lt-LT"/>
        </w:rPr>
        <w:t>1</w:t>
      </w:r>
      <w:r>
        <w:rPr>
          <w:sz w:val="24"/>
          <w:szCs w:val="24"/>
          <w:lang w:val="lt-LT"/>
        </w:rPr>
        <w:t>. Švietimo pagalbos įstaigų vadovų, kurių darbas laikomas pedagoginiu, pareiginės algos pastoviosios dalies koeficientai:</w:t>
      </w:r>
    </w:p>
    <w:p w14:paraId="39121903" w14:textId="092176C0" w:rsidR="00AC1089" w:rsidRDefault="00AC1089" w:rsidP="00AC1089">
      <w:pPr>
        <w:jc w:val="righ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(Baziniais dydžiais)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3157"/>
        <w:gridCol w:w="3266"/>
        <w:gridCol w:w="3266"/>
      </w:tblGrid>
      <w:tr w:rsidR="00AC1089" w14:paraId="60444CA1" w14:textId="77777777" w:rsidTr="00AC1089">
        <w:tc>
          <w:tcPr>
            <w:tcW w:w="3157" w:type="dxa"/>
          </w:tcPr>
          <w:p w14:paraId="21C9FCE9" w14:textId="7AEC02C1" w:rsidR="00AC1089" w:rsidRDefault="00AC1089" w:rsidP="00AC108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Pareigybių skaičius</w:t>
            </w:r>
          </w:p>
        </w:tc>
        <w:tc>
          <w:tcPr>
            <w:tcW w:w="3266" w:type="dxa"/>
          </w:tcPr>
          <w:p w14:paraId="5CF83BA7" w14:textId="7F5D99AE" w:rsidR="00AC1089" w:rsidRDefault="00AC1089" w:rsidP="00AC108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Vadovaujamo darbo patirtis (metais)</w:t>
            </w:r>
          </w:p>
        </w:tc>
        <w:tc>
          <w:tcPr>
            <w:tcW w:w="3266" w:type="dxa"/>
          </w:tcPr>
          <w:p w14:paraId="3A155AAC" w14:textId="31DE8BF5" w:rsidR="00AC1089" w:rsidRDefault="00AC1089" w:rsidP="00084F1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Pastoviosios dalies koeficientai, jeigu pareigybės lygis A</w:t>
            </w:r>
          </w:p>
        </w:tc>
      </w:tr>
      <w:tr w:rsidR="00AE45FD" w14:paraId="795AF96A" w14:textId="77777777" w:rsidTr="00AC1089">
        <w:tc>
          <w:tcPr>
            <w:tcW w:w="3157" w:type="dxa"/>
            <w:vMerge w:val="restart"/>
          </w:tcPr>
          <w:p w14:paraId="373C95A7" w14:textId="3726F031" w:rsidR="00AE45FD" w:rsidRDefault="00AE45FD" w:rsidP="00AC108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 ir mažiau pareigybių</w:t>
            </w:r>
          </w:p>
        </w:tc>
        <w:tc>
          <w:tcPr>
            <w:tcW w:w="3266" w:type="dxa"/>
          </w:tcPr>
          <w:p w14:paraId="2A46075A" w14:textId="33CACF5A" w:rsidR="00AE45FD" w:rsidRDefault="00AE45FD" w:rsidP="00AC108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iki 5</w:t>
            </w:r>
          </w:p>
        </w:tc>
        <w:tc>
          <w:tcPr>
            <w:tcW w:w="3266" w:type="dxa"/>
          </w:tcPr>
          <w:p w14:paraId="5B94DFCF" w14:textId="6D7876A8" w:rsidR="00AE45FD" w:rsidRDefault="00AE45FD" w:rsidP="00084F1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9,75–13,3</w:t>
            </w:r>
          </w:p>
        </w:tc>
      </w:tr>
      <w:tr w:rsidR="00AE45FD" w14:paraId="4A1C2D12" w14:textId="77777777" w:rsidTr="00AC1089">
        <w:tc>
          <w:tcPr>
            <w:tcW w:w="3157" w:type="dxa"/>
            <w:vMerge/>
          </w:tcPr>
          <w:p w14:paraId="0213A528" w14:textId="77777777" w:rsidR="00AE45FD" w:rsidRDefault="00AE45FD" w:rsidP="00AC1089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266" w:type="dxa"/>
          </w:tcPr>
          <w:p w14:paraId="46B3A135" w14:textId="7080B8F9" w:rsidR="00AE45FD" w:rsidRDefault="00AE45FD" w:rsidP="00AC108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 daugiau kaip 5 iki 10</w:t>
            </w:r>
          </w:p>
        </w:tc>
        <w:tc>
          <w:tcPr>
            <w:tcW w:w="3266" w:type="dxa"/>
          </w:tcPr>
          <w:p w14:paraId="743C5880" w14:textId="39104965" w:rsidR="00AE45FD" w:rsidRDefault="00AE45FD" w:rsidP="00084F1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9,9–13,5</w:t>
            </w:r>
          </w:p>
        </w:tc>
      </w:tr>
      <w:tr w:rsidR="00AE45FD" w14:paraId="655B2B56" w14:textId="77777777" w:rsidTr="00AC1089">
        <w:tc>
          <w:tcPr>
            <w:tcW w:w="3157" w:type="dxa"/>
            <w:vMerge/>
          </w:tcPr>
          <w:p w14:paraId="2208BB4F" w14:textId="77777777" w:rsidR="00AE45FD" w:rsidRDefault="00AE45FD" w:rsidP="00AC1089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266" w:type="dxa"/>
          </w:tcPr>
          <w:p w14:paraId="4406835E" w14:textId="4AD1D2DC" w:rsidR="00AE45FD" w:rsidRDefault="00AE45FD" w:rsidP="00AC108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 daugiau kaip 10</w:t>
            </w:r>
          </w:p>
        </w:tc>
        <w:tc>
          <w:tcPr>
            <w:tcW w:w="3266" w:type="dxa"/>
          </w:tcPr>
          <w:p w14:paraId="48EA736E" w14:textId="6C88E1A0" w:rsidR="00AE45FD" w:rsidRDefault="00AE45FD" w:rsidP="00084F1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10,05–13,7</w:t>
            </w:r>
            <w:r w:rsidR="00101D01">
              <w:rPr>
                <w:sz w:val="24"/>
                <w:szCs w:val="24"/>
                <w:lang w:val="lt-LT"/>
              </w:rPr>
              <w:t>“</w:t>
            </w:r>
          </w:p>
        </w:tc>
      </w:tr>
    </w:tbl>
    <w:p w14:paraId="4164BEE3" w14:textId="7B22C773" w:rsidR="00CE0027" w:rsidRDefault="00CE0027" w:rsidP="00D276B0">
      <w:pPr>
        <w:ind w:firstLine="851"/>
        <w:jc w:val="both"/>
        <w:rPr>
          <w:sz w:val="24"/>
          <w:szCs w:val="24"/>
          <w:lang w:val="lt-LT"/>
        </w:rPr>
      </w:pPr>
    </w:p>
    <w:p w14:paraId="4CB97B75" w14:textId="13C4B1AB" w:rsidR="00295FBB" w:rsidRPr="00295FBB" w:rsidRDefault="00E124F1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295FBB" w:rsidRPr="00295FBB">
        <w:rPr>
          <w:sz w:val="24"/>
          <w:szCs w:val="24"/>
          <w:lang w:val="lt-LT"/>
        </w:rPr>
        <w:t>.</w:t>
      </w:r>
      <w:r w:rsidR="00295FBB" w:rsidRPr="00295FBB">
        <w:rPr>
          <w:sz w:val="24"/>
          <w:szCs w:val="24"/>
        </w:rPr>
        <w:t xml:space="preserve"> </w:t>
      </w:r>
      <w:r w:rsidR="003A594C">
        <w:rPr>
          <w:sz w:val="24"/>
          <w:szCs w:val="24"/>
          <w:lang w:val="lt-LT"/>
        </w:rPr>
        <w:t>Šį sprendimą skelbti saviv</w:t>
      </w:r>
      <w:r w:rsidR="00B63065">
        <w:rPr>
          <w:sz w:val="24"/>
          <w:szCs w:val="24"/>
          <w:lang w:val="lt-LT"/>
        </w:rPr>
        <w:t xml:space="preserve">aldybės interneto svetainėje </w:t>
      </w:r>
      <w:hyperlink r:id="rId8" w:history="1">
        <w:r w:rsidR="00315894" w:rsidRPr="00F41415">
          <w:rPr>
            <w:rStyle w:val="Hipersaitas"/>
            <w:sz w:val="24"/>
            <w:szCs w:val="24"/>
            <w:lang w:val="lt-LT"/>
          </w:rPr>
          <w:t>www.rokiskis.lt</w:t>
        </w:r>
      </w:hyperlink>
      <w:r w:rsidR="00315894">
        <w:rPr>
          <w:sz w:val="24"/>
          <w:szCs w:val="24"/>
          <w:lang w:val="lt-LT"/>
        </w:rPr>
        <w:t xml:space="preserve"> ir Teisės aktų registre</w:t>
      </w:r>
      <w:r w:rsidR="00295FBB" w:rsidRPr="00915EF0">
        <w:rPr>
          <w:sz w:val="24"/>
          <w:szCs w:val="24"/>
          <w:lang w:val="lt-LT"/>
        </w:rPr>
        <w:t>.</w:t>
      </w:r>
    </w:p>
    <w:p w14:paraId="1522CA29" w14:textId="77777777" w:rsidR="003A594C" w:rsidRPr="00BE113B" w:rsidRDefault="003A594C" w:rsidP="003A594C">
      <w:pPr>
        <w:ind w:firstLine="851"/>
        <w:jc w:val="both"/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 xml:space="preserve">Šis sprendimas per vieną mėnesį gali būti skundžiamas Regionų apygardos teismui, skundą (prašymą) paduodant bet kuriuose šio teismo rūmuose, Lietuvos Respublikos administracinių bylų teisenos nustatyta tvarka. </w:t>
      </w:r>
    </w:p>
    <w:p w14:paraId="68C54711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3BC082B" w14:textId="77777777" w:rsidR="00F26541" w:rsidRDefault="00F2654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4534296" w14:textId="77777777" w:rsidR="00397521" w:rsidRPr="0017751A" w:rsidRDefault="0039752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BB746B3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>Ramūnas Godeliauskas</w:t>
      </w:r>
    </w:p>
    <w:p w14:paraId="68C54714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5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6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7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3158532" w14:textId="64104ED7" w:rsidR="006A2DAF" w:rsidRDefault="006A2DAF" w:rsidP="00D276B0">
      <w:pPr>
        <w:tabs>
          <w:tab w:val="left" w:pos="1260"/>
        </w:tabs>
        <w:rPr>
          <w:sz w:val="24"/>
          <w:szCs w:val="24"/>
        </w:rPr>
      </w:pPr>
    </w:p>
    <w:p w14:paraId="60AD7ECC" w14:textId="7AE63923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6D2AFC88" w14:textId="2526E153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5F9EE0A0" w14:textId="6D1C5228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288C848" w14:textId="047866D3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1A0D5916" w14:textId="0D1F6FD2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0A118211" w14:textId="5CB7712F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047DFBF5" w14:textId="70379E59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20C2ACF4" w14:textId="6771C06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11EF900E" w14:textId="2E7631FE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0768AD00" w14:textId="55C196A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EBDE466" w14:textId="55F02BCB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9CCE5A2" w14:textId="44925E5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3E3A8F1E" w14:textId="6791455E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4B1F0E53" w14:textId="01756491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0F9FBD0F" w14:textId="7E24ACA2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5FFFB36E" w14:textId="6F936CD5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05C31A79" w14:textId="77777777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9B82C2F" w14:textId="77777777" w:rsidR="006A2DAF" w:rsidRDefault="006A2DAF" w:rsidP="00D276B0">
      <w:pPr>
        <w:tabs>
          <w:tab w:val="left" w:pos="1260"/>
        </w:tabs>
        <w:rPr>
          <w:sz w:val="24"/>
          <w:szCs w:val="24"/>
        </w:rPr>
      </w:pPr>
    </w:p>
    <w:p w14:paraId="2983EDA7" w14:textId="77777777" w:rsidR="006A2DAF" w:rsidRDefault="006A2DAF" w:rsidP="00D276B0">
      <w:pPr>
        <w:tabs>
          <w:tab w:val="left" w:pos="1260"/>
        </w:tabs>
        <w:rPr>
          <w:sz w:val="24"/>
          <w:szCs w:val="24"/>
        </w:rPr>
      </w:pPr>
    </w:p>
    <w:p w14:paraId="4540ECC5" w14:textId="77777777" w:rsidR="006A2DAF" w:rsidRDefault="006A2DAF" w:rsidP="00D276B0">
      <w:pPr>
        <w:tabs>
          <w:tab w:val="left" w:pos="1260"/>
        </w:tabs>
        <w:rPr>
          <w:sz w:val="24"/>
          <w:szCs w:val="24"/>
        </w:rPr>
      </w:pPr>
    </w:p>
    <w:p w14:paraId="66C817E2" w14:textId="77777777" w:rsidR="006A2DAF" w:rsidRDefault="006A2DAF" w:rsidP="00D276B0">
      <w:pPr>
        <w:tabs>
          <w:tab w:val="left" w:pos="1260"/>
        </w:tabs>
        <w:rPr>
          <w:sz w:val="24"/>
          <w:szCs w:val="24"/>
        </w:rPr>
      </w:pPr>
    </w:p>
    <w:p w14:paraId="4B39E819" w14:textId="77777777" w:rsidR="009725C9" w:rsidRDefault="009725C9" w:rsidP="00D276B0">
      <w:pPr>
        <w:tabs>
          <w:tab w:val="left" w:pos="1260"/>
        </w:tabs>
        <w:rPr>
          <w:sz w:val="24"/>
          <w:szCs w:val="24"/>
        </w:rPr>
      </w:pPr>
    </w:p>
    <w:p w14:paraId="68C54728" w14:textId="2BAEA309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EC3CB44" w14:textId="6859DAA0" w:rsidR="008A3875" w:rsidRDefault="008A3875" w:rsidP="00D276B0">
      <w:pPr>
        <w:tabs>
          <w:tab w:val="left" w:pos="1260"/>
        </w:tabs>
        <w:rPr>
          <w:sz w:val="24"/>
          <w:szCs w:val="24"/>
        </w:rPr>
      </w:pPr>
      <w:bookmarkStart w:id="0" w:name="_GoBack"/>
      <w:bookmarkEnd w:id="0"/>
    </w:p>
    <w:p w14:paraId="5A250DC1" w14:textId="77777777" w:rsidR="008A3875" w:rsidRDefault="008A3875" w:rsidP="00D276B0">
      <w:pPr>
        <w:tabs>
          <w:tab w:val="left" w:pos="1260"/>
        </w:tabs>
        <w:rPr>
          <w:sz w:val="24"/>
          <w:szCs w:val="24"/>
        </w:rPr>
      </w:pPr>
    </w:p>
    <w:p w14:paraId="72B237AC" w14:textId="77777777" w:rsidR="003A594C" w:rsidRDefault="003A594C" w:rsidP="00D276B0">
      <w:pPr>
        <w:tabs>
          <w:tab w:val="left" w:pos="1260"/>
        </w:tabs>
        <w:rPr>
          <w:sz w:val="24"/>
          <w:szCs w:val="24"/>
        </w:rPr>
      </w:pPr>
    </w:p>
    <w:p w14:paraId="733506DD" w14:textId="2469CEA1" w:rsidR="00066845" w:rsidRDefault="001809B3" w:rsidP="00D276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Rita </w:t>
      </w:r>
      <w:r w:rsidR="00066845">
        <w:rPr>
          <w:sz w:val="24"/>
          <w:szCs w:val="24"/>
          <w:lang w:val="lt-LT"/>
        </w:rPr>
        <w:t>Elmonienė</w:t>
      </w:r>
    </w:p>
    <w:p w14:paraId="68C5472A" w14:textId="54554525" w:rsidR="00D276B0" w:rsidRPr="006E3D5D" w:rsidRDefault="00D276B0" w:rsidP="00D276B0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68C5472B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</w:p>
    <w:p w14:paraId="68C5472C" w14:textId="500AFE11" w:rsidR="00D276B0" w:rsidRDefault="00ED01A4" w:rsidP="00D276B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TEIKIAMO </w:t>
      </w:r>
      <w:r w:rsidR="00D276B0" w:rsidRPr="00670F02">
        <w:rPr>
          <w:b/>
          <w:sz w:val="24"/>
          <w:szCs w:val="24"/>
          <w:lang w:val="lt-LT"/>
        </w:rPr>
        <w:t>SPRENDIMO</w:t>
      </w:r>
      <w:r w:rsidR="00D276B0" w:rsidRPr="00963D1D">
        <w:rPr>
          <w:b/>
          <w:sz w:val="24"/>
          <w:szCs w:val="24"/>
          <w:lang w:val="lt-LT"/>
        </w:rPr>
        <w:t xml:space="preserve"> </w:t>
      </w:r>
      <w:r w:rsidR="00D276B0" w:rsidRPr="00670F02">
        <w:rPr>
          <w:b/>
          <w:sz w:val="24"/>
          <w:szCs w:val="24"/>
          <w:lang w:val="lt-LT"/>
        </w:rPr>
        <w:t>PROJEKTO „</w:t>
      </w:r>
      <w:r w:rsidR="003A066F">
        <w:rPr>
          <w:b/>
          <w:bCs/>
          <w:kern w:val="32"/>
          <w:sz w:val="24"/>
          <w:szCs w:val="24"/>
          <w:lang w:val="lt-LT"/>
        </w:rPr>
        <w:t>DĖL ROKIŠKIO RAJONO SAVIVALDYBĖS TARYBOS 2021 M. KOVO 26 D. SPRENDIMO NR. TS-56 „DĖL ROKIŠKIO RAJONO SAVIVALDYBĖS ŠVIETIMO ĮSTAIGŲ VADOVŲ DARBO APMOKĖJIMO SISTEMOS PATVIRTINIMO“ PAKEITIMO</w:t>
      </w:r>
      <w:r w:rsidR="00D276B0" w:rsidRPr="0097237D">
        <w:rPr>
          <w:b/>
          <w:sz w:val="24"/>
          <w:szCs w:val="24"/>
          <w:lang w:val="lt-LT"/>
        </w:rPr>
        <w:t xml:space="preserve">“ </w:t>
      </w:r>
    </w:p>
    <w:p w14:paraId="68C5472D" w14:textId="77777777" w:rsidR="00D276B0" w:rsidRPr="006E3D5D" w:rsidRDefault="00D276B0" w:rsidP="00D276B0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68C5472E" w14:textId="77777777" w:rsidR="00D276B0" w:rsidRPr="006E3D5D" w:rsidRDefault="00D276B0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68C5472F" w14:textId="3CDC453D" w:rsidR="00D276B0" w:rsidRPr="006E3D5D" w:rsidRDefault="002C7A7D" w:rsidP="00D276B0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="00D276B0" w:rsidRPr="006E3D5D">
        <w:rPr>
          <w:b/>
          <w:sz w:val="24"/>
          <w:szCs w:val="24"/>
          <w:lang w:val="lt-LT"/>
        </w:rPr>
        <w:t xml:space="preserve">prendimo projekto tikslai ir uždaviniai. </w:t>
      </w:r>
    </w:p>
    <w:p w14:paraId="7E0C6833" w14:textId="7E4CCE56" w:rsidR="003A066F" w:rsidRPr="003A066F" w:rsidRDefault="003A066F" w:rsidP="00D276B0">
      <w:pPr>
        <w:ind w:firstLine="851"/>
        <w:jc w:val="both"/>
        <w:rPr>
          <w:bCs/>
          <w:sz w:val="24"/>
          <w:szCs w:val="24"/>
          <w:lang w:val="lt-LT"/>
        </w:rPr>
      </w:pPr>
      <w:r w:rsidRPr="003A066F">
        <w:rPr>
          <w:bCs/>
          <w:sz w:val="24"/>
          <w:szCs w:val="24"/>
          <w:lang w:val="lt-LT"/>
        </w:rPr>
        <w:t>Sprendimo projekto tikslas – pakeisti Rokiškio rajono savivaldybės švietimo įstaigų vadovų darb</w:t>
      </w:r>
      <w:r w:rsidR="006F2773">
        <w:rPr>
          <w:bCs/>
          <w:sz w:val="24"/>
          <w:szCs w:val="24"/>
          <w:lang w:val="lt-LT"/>
        </w:rPr>
        <w:t>o apmokėjimo sistemą (toliau – S</w:t>
      </w:r>
      <w:r w:rsidRPr="003A066F">
        <w:rPr>
          <w:bCs/>
          <w:sz w:val="24"/>
          <w:szCs w:val="24"/>
          <w:lang w:val="lt-LT"/>
        </w:rPr>
        <w:t xml:space="preserve">istema), patvirtintą Rokiškio </w:t>
      </w:r>
      <w:r>
        <w:rPr>
          <w:bCs/>
          <w:sz w:val="24"/>
          <w:szCs w:val="24"/>
          <w:lang w:val="lt-LT"/>
        </w:rPr>
        <w:t xml:space="preserve">rajono savivaldybės tarybos 2021 m. kovo 26 d. sprendimu Nr. TS-56, nes įsigaliojo </w:t>
      </w:r>
      <w:r>
        <w:rPr>
          <w:sz w:val="24"/>
          <w:szCs w:val="24"/>
          <w:lang w:val="lt-LT"/>
        </w:rPr>
        <w:t>Lietuvos Respublikos valstybės ir savivaldybių įstaigų darbuotojų darbo apmokėjimo ir komisijų narių atlygio už darbą įstatymo Nr. XIII-198 7, 8, 14 straipsnių ir 5 priedo pakeitimo įstatymas.</w:t>
      </w:r>
    </w:p>
    <w:p w14:paraId="68C54731" w14:textId="6AE5697A" w:rsidR="00D276B0" w:rsidRDefault="008471FD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Teisinio reguliavimo nuostatos</w:t>
      </w:r>
      <w:r w:rsidR="00D276B0" w:rsidRPr="006E3D5D">
        <w:rPr>
          <w:b/>
          <w:bCs/>
          <w:sz w:val="24"/>
          <w:szCs w:val="24"/>
          <w:lang w:val="lt-LT"/>
        </w:rPr>
        <w:t>.</w:t>
      </w:r>
      <w:r w:rsidR="00D276B0" w:rsidRPr="006E3D5D">
        <w:rPr>
          <w:sz w:val="24"/>
          <w:szCs w:val="24"/>
          <w:lang w:val="lt-LT"/>
        </w:rPr>
        <w:t xml:space="preserve"> </w:t>
      </w:r>
    </w:p>
    <w:p w14:paraId="7C34DDF7" w14:textId="63019DAE" w:rsidR="00D26423" w:rsidRDefault="00D26423" w:rsidP="00EA68D0">
      <w:pPr>
        <w:pStyle w:val="Default"/>
        <w:ind w:firstLine="851"/>
        <w:jc w:val="both"/>
      </w:pPr>
      <w:r w:rsidRPr="00EC72DD">
        <w:t>Lietuvos Respublikos vietos savivaldo</w:t>
      </w:r>
      <w:r w:rsidR="00E25C95">
        <w:t>s įstatymas,</w:t>
      </w:r>
      <w:r w:rsidR="00E25C95" w:rsidRPr="00E25C95">
        <w:t xml:space="preserve"> Lietuvos Respublikos valstybės ir savivaldybių įstaigų darbuotojų darbo apmokėjimo</w:t>
      </w:r>
      <w:r w:rsidR="00E25C95">
        <w:t xml:space="preserve"> ir komisijų narių atlygio už darbą</w:t>
      </w:r>
      <w:r w:rsidR="00E25C95" w:rsidRPr="00E25C95">
        <w:t xml:space="preserve"> įstatymas, Rokiškio rajono savivaldybės švietimo įstaigų vadovų darbo apmokėjimo sistema, patvirtinta Rokiškio </w:t>
      </w:r>
      <w:r w:rsidR="00E25C95">
        <w:t>rajono savivaldybės tarybos 2021 m. kovo 26</w:t>
      </w:r>
      <w:r w:rsidR="00E25C95" w:rsidRPr="00E25C95">
        <w:t xml:space="preserve"> d. sprendim</w:t>
      </w:r>
      <w:r w:rsidR="00E25C95">
        <w:t>u Nr. TS-56</w:t>
      </w:r>
      <w:r w:rsidR="00E25C95" w:rsidRPr="00E25C95">
        <w:t>.</w:t>
      </w:r>
    </w:p>
    <w:p w14:paraId="68C54733" w14:textId="77777777" w:rsidR="00D276B0" w:rsidRDefault="00D276B0" w:rsidP="00D276B0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00313EBB" w14:textId="60226803" w:rsidR="006F2773" w:rsidRDefault="00404F18" w:rsidP="000B544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Sprendimo projekto</w:t>
      </w:r>
      <w:r w:rsidR="006F2773">
        <w:rPr>
          <w:sz w:val="24"/>
          <w:szCs w:val="24"/>
          <w:lang w:val="lt-LT"/>
        </w:rPr>
        <w:t>:</w:t>
      </w:r>
    </w:p>
    <w:p w14:paraId="6CFF47D2" w14:textId="427D85E3" w:rsidR="008F623C" w:rsidRDefault="00825226" w:rsidP="000B544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-</w:t>
      </w:r>
      <w:r w:rsidR="00404F18">
        <w:rPr>
          <w:sz w:val="24"/>
          <w:szCs w:val="24"/>
          <w:lang w:val="lt-LT"/>
        </w:rPr>
        <w:t>1 punkte nurodytas 24.4 papunkčio pakeitimas – nustatyta, kad įvertinus mokyklos vadovo praėjusių kalendorinių metų veiklą nepatenkinamai, jam iki kito biudžetinės įstaigos vadovo kasmetinio veiklos vertinimo nustatomas 1 mažesnis pareiginės algos pastoviosios dalies koeficientas (</w:t>
      </w:r>
      <w:r w:rsidR="00404F18" w:rsidRPr="006F2773">
        <w:rPr>
          <w:i/>
          <w:sz w:val="24"/>
          <w:szCs w:val="24"/>
          <w:lang w:val="lt-LT"/>
        </w:rPr>
        <w:t>buvo nustatomas 5 procentais mažesnis pareiginės algos pastoviosios dalies koeficient</w:t>
      </w:r>
      <w:r w:rsidR="002E0BD5">
        <w:rPr>
          <w:i/>
          <w:sz w:val="24"/>
          <w:szCs w:val="24"/>
          <w:lang w:val="lt-LT"/>
        </w:rPr>
        <w:t>as, tačiau ne mažesnis negu</w:t>
      </w:r>
      <w:r w:rsidR="00404F18" w:rsidRPr="006F2773">
        <w:rPr>
          <w:i/>
          <w:sz w:val="24"/>
          <w:szCs w:val="24"/>
          <w:lang w:val="lt-LT"/>
        </w:rPr>
        <w:t xml:space="preserve"> Sistemos 2 priede tai pareigybei</w:t>
      </w:r>
      <w:r w:rsidR="006F2773" w:rsidRPr="006F2773">
        <w:rPr>
          <w:i/>
          <w:sz w:val="24"/>
          <w:szCs w:val="24"/>
          <w:lang w:val="lt-LT"/>
        </w:rPr>
        <w:t xml:space="preserve"> numatytas minimalus pareiginės algos pastoviosios dalies koeficientas</w:t>
      </w:r>
      <w:r w:rsidR="006F2773">
        <w:rPr>
          <w:sz w:val="24"/>
          <w:szCs w:val="24"/>
          <w:lang w:val="lt-LT"/>
        </w:rPr>
        <w:t>);</w:t>
      </w:r>
    </w:p>
    <w:p w14:paraId="1686C46C" w14:textId="64862EB4" w:rsidR="006F2773" w:rsidRPr="008F623C" w:rsidRDefault="00825226" w:rsidP="000B544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-</w:t>
      </w:r>
      <w:r w:rsidR="006F2773">
        <w:rPr>
          <w:sz w:val="24"/>
          <w:szCs w:val="24"/>
          <w:lang w:val="lt-LT"/>
        </w:rPr>
        <w:t>2, 3 ir 4 punktuose numatyti pakeitimai ir papildymai, susiję su švietimo pagalbos įstaigų vadovų</w:t>
      </w:r>
      <w:r w:rsidR="00E42327">
        <w:rPr>
          <w:sz w:val="24"/>
          <w:szCs w:val="24"/>
          <w:lang w:val="lt-LT"/>
        </w:rPr>
        <w:t>, kurių darbas laikomas pedagoginiu,</w:t>
      </w:r>
      <w:r w:rsidR="006F2773">
        <w:rPr>
          <w:sz w:val="24"/>
          <w:szCs w:val="24"/>
          <w:lang w:val="lt-LT"/>
        </w:rPr>
        <w:t xml:space="preserve"> darbo apmokėjimu, todėl Sistemos</w:t>
      </w:r>
      <w:r w:rsidR="00CA1639">
        <w:rPr>
          <w:sz w:val="24"/>
          <w:szCs w:val="24"/>
          <w:lang w:val="lt-LT"/>
        </w:rPr>
        <w:t xml:space="preserve"> 2 priedas </w:t>
      </w:r>
      <w:r w:rsidR="002E0BD5">
        <w:rPr>
          <w:sz w:val="24"/>
          <w:szCs w:val="24"/>
          <w:lang w:val="lt-LT"/>
        </w:rPr>
        <w:t>(</w:t>
      </w:r>
      <w:r w:rsidR="002E0BD5" w:rsidRPr="002E0BD5">
        <w:rPr>
          <w:i/>
          <w:sz w:val="24"/>
          <w:szCs w:val="24"/>
          <w:lang w:val="lt-LT"/>
        </w:rPr>
        <w:t>pakeistas šio priedo pavadinimas)</w:t>
      </w:r>
      <w:r w:rsidR="002E0BD5">
        <w:rPr>
          <w:sz w:val="24"/>
          <w:szCs w:val="24"/>
          <w:lang w:val="lt-LT"/>
        </w:rPr>
        <w:t xml:space="preserve"> </w:t>
      </w:r>
      <w:r w:rsidR="00CA1639">
        <w:rPr>
          <w:sz w:val="24"/>
          <w:szCs w:val="24"/>
          <w:lang w:val="lt-LT"/>
        </w:rPr>
        <w:t>papildytas nauju 1</w:t>
      </w:r>
      <w:r w:rsidR="00CA1639" w:rsidRPr="00397521">
        <w:rPr>
          <w:color w:val="000000"/>
          <w:szCs w:val="24"/>
          <w:vertAlign w:val="superscript"/>
          <w:lang w:val="lt-LT"/>
        </w:rPr>
        <w:t>1</w:t>
      </w:r>
      <w:r w:rsidR="00CA1639">
        <w:rPr>
          <w:sz w:val="24"/>
          <w:szCs w:val="24"/>
          <w:lang w:val="lt-LT"/>
        </w:rPr>
        <w:t xml:space="preserve"> punktu, kuriame nustatyti švietimo pagalbos įstaigų vadovų, kurių darbas laikomas pedagoginiu, pareiginės algos koeficientai (</w:t>
      </w:r>
      <w:r w:rsidR="00CA1639" w:rsidRPr="002E0BD5">
        <w:rPr>
          <w:i/>
          <w:sz w:val="24"/>
          <w:szCs w:val="24"/>
          <w:lang w:val="lt-LT"/>
        </w:rPr>
        <w:t>iki šiol jie buvo nustatomi pagal Sistemos 1 priedą</w:t>
      </w:r>
      <w:r w:rsidR="00CA1639">
        <w:rPr>
          <w:sz w:val="24"/>
          <w:szCs w:val="24"/>
          <w:lang w:val="lt-LT"/>
        </w:rPr>
        <w:t>). Padidinti minimalūs pareiginės algos koeficientai</w:t>
      </w:r>
      <w:r w:rsidR="00482D4C">
        <w:rPr>
          <w:sz w:val="24"/>
          <w:szCs w:val="24"/>
          <w:lang w:val="lt-LT"/>
        </w:rPr>
        <w:t xml:space="preserve"> – 9,75; 9,9; 10,05 (</w:t>
      </w:r>
      <w:r w:rsidR="00482D4C" w:rsidRPr="00482D4C">
        <w:rPr>
          <w:i/>
          <w:sz w:val="24"/>
          <w:szCs w:val="24"/>
          <w:lang w:val="lt-LT"/>
        </w:rPr>
        <w:t>buvo 6,5; 6,6; 6,7</w:t>
      </w:r>
      <w:r w:rsidR="00482D4C">
        <w:rPr>
          <w:sz w:val="24"/>
          <w:szCs w:val="24"/>
          <w:lang w:val="lt-LT"/>
        </w:rPr>
        <w:t>). Pareiginės algos pastoviosios dalies koeficientų maksimali intervalo riba nepakeista.</w:t>
      </w:r>
    </w:p>
    <w:p w14:paraId="68C54740" w14:textId="1D1FEE22" w:rsidR="00D276B0" w:rsidRDefault="000B5445" w:rsidP="000B5445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Laukiami rezultatai</w:t>
      </w:r>
      <w:r w:rsidR="008471FD">
        <w:rPr>
          <w:b/>
          <w:sz w:val="24"/>
          <w:szCs w:val="24"/>
          <w:lang w:val="lt-LT"/>
        </w:rPr>
        <w:t xml:space="preserve">. </w:t>
      </w:r>
    </w:p>
    <w:p w14:paraId="2929115E" w14:textId="663D05A0" w:rsidR="008F623C" w:rsidRDefault="00825226" w:rsidP="00825226">
      <w:pPr>
        <w:pStyle w:val="Antrats"/>
        <w:tabs>
          <w:tab w:val="left" w:pos="1296"/>
        </w:tabs>
        <w:ind w:firstLine="720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="008F623C">
        <w:rPr>
          <w:sz w:val="24"/>
          <w:szCs w:val="24"/>
          <w:lang w:val="lt-LT"/>
        </w:rPr>
        <w:t>Švietimo įstaigų vadovų</w:t>
      </w:r>
      <w:r w:rsidR="008F623C" w:rsidRPr="008F623C">
        <w:rPr>
          <w:sz w:val="24"/>
          <w:szCs w:val="24"/>
          <w:lang w:val="lt-LT"/>
        </w:rPr>
        <w:t xml:space="preserve"> darbo apmokėjimas reglamentuotas galiojančiais</w:t>
      </w:r>
      <w:r w:rsidR="008F623C">
        <w:rPr>
          <w:sz w:val="24"/>
          <w:szCs w:val="24"/>
          <w:lang w:val="lt-LT"/>
        </w:rPr>
        <w:t xml:space="preserve"> ir aktualiais teisės </w:t>
      </w:r>
      <w:r w:rsidR="008F623C" w:rsidRPr="008F623C">
        <w:rPr>
          <w:sz w:val="24"/>
          <w:szCs w:val="24"/>
          <w:lang w:val="lt-LT"/>
        </w:rPr>
        <w:t>aktais.</w:t>
      </w:r>
      <w:r w:rsidR="00D276B0" w:rsidRPr="006E3D5D">
        <w:rPr>
          <w:b/>
          <w:sz w:val="24"/>
          <w:szCs w:val="24"/>
          <w:lang w:val="lt-LT"/>
        </w:rPr>
        <w:t xml:space="preserve">              </w:t>
      </w:r>
    </w:p>
    <w:p w14:paraId="68C54744" w14:textId="4E0DB96B" w:rsidR="00D276B0" w:rsidRDefault="00825226" w:rsidP="008F623C">
      <w:pPr>
        <w:pStyle w:val="Antrats"/>
        <w:tabs>
          <w:tab w:val="left" w:pos="1296"/>
        </w:tabs>
        <w:ind w:left="720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  </w:t>
      </w:r>
      <w:r w:rsidR="00D276B0" w:rsidRPr="006E3D5D">
        <w:rPr>
          <w:b/>
          <w:bCs/>
          <w:sz w:val="24"/>
          <w:szCs w:val="24"/>
          <w:lang w:val="lt-LT"/>
        </w:rPr>
        <w:t>Finansavimo šaltiniai ir lėšų poreikis</w:t>
      </w:r>
      <w:r w:rsidR="00D276B0" w:rsidRPr="006E3D5D">
        <w:rPr>
          <w:sz w:val="24"/>
          <w:szCs w:val="24"/>
          <w:lang w:val="lt-LT"/>
        </w:rPr>
        <w:t>.</w:t>
      </w:r>
    </w:p>
    <w:p w14:paraId="1CB78C0D" w14:textId="77734B62" w:rsidR="009373F7" w:rsidRDefault="009373F7" w:rsidP="009373F7">
      <w:pPr>
        <w:pStyle w:val="Default"/>
        <w:ind w:firstLine="851"/>
        <w:jc w:val="both"/>
      </w:pPr>
      <w:r>
        <w:t>Lietuvos Respublikos va</w:t>
      </w:r>
      <w:r w:rsidR="00C82724">
        <w:t>lstybės biudžeto (mokymo lėšos)</w:t>
      </w:r>
      <w:r w:rsidRPr="007657B7">
        <w:rPr>
          <w:bCs/>
        </w:rPr>
        <w:t xml:space="preserve"> </w:t>
      </w:r>
      <w:r w:rsidR="008F623C">
        <w:rPr>
          <w:bCs/>
        </w:rPr>
        <w:t xml:space="preserve">ir savivaldybės biudžeto </w:t>
      </w:r>
      <w:r w:rsidRPr="007657B7">
        <w:rPr>
          <w:bCs/>
        </w:rPr>
        <w:t>lėšos.</w:t>
      </w:r>
    </w:p>
    <w:p w14:paraId="68C54746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68C54747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8C54748" w14:textId="77777777" w:rsidR="00D276B0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68C54749" w14:textId="57B069F5" w:rsidR="00D276B0" w:rsidRPr="00BE4F73" w:rsidRDefault="00D276B0" w:rsidP="00D276B0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</w:t>
      </w:r>
      <w:r w:rsidR="0061360F">
        <w:rPr>
          <w:sz w:val="24"/>
          <w:szCs w:val="24"/>
          <w:lang w:val="lt-LT"/>
        </w:rPr>
        <w:t>k</w:t>
      </w:r>
      <w:r w:rsidRPr="00BE4F73">
        <w:rPr>
          <w:sz w:val="24"/>
          <w:szCs w:val="24"/>
          <w:lang w:val="lt-LT"/>
        </w:rPr>
        <w:t>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68C5474A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68C5474D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</w:p>
    <w:p w14:paraId="68C54754" w14:textId="76E4C460" w:rsidR="00495A04" w:rsidRPr="00CB0190" w:rsidRDefault="00D276B0" w:rsidP="009261DD">
      <w:pPr>
        <w:ind w:right="197"/>
        <w:rPr>
          <w:caps/>
          <w:sz w:val="24"/>
          <w:szCs w:val="24"/>
        </w:rPr>
      </w:pPr>
      <w:r w:rsidRPr="006E3D5D">
        <w:rPr>
          <w:sz w:val="24"/>
          <w:szCs w:val="24"/>
          <w:lang w:val="lt-LT"/>
        </w:rPr>
        <w:t>Švietimo</w:t>
      </w:r>
      <w:r w:rsidR="00393A55">
        <w:rPr>
          <w:sz w:val="24"/>
          <w:szCs w:val="24"/>
          <w:lang w:val="lt-LT"/>
        </w:rPr>
        <w:t xml:space="preserve"> ir sporto</w:t>
      </w:r>
      <w:r w:rsidRPr="006E3D5D">
        <w:rPr>
          <w:sz w:val="24"/>
          <w:szCs w:val="24"/>
          <w:lang w:val="lt-LT"/>
        </w:rPr>
        <w:t xml:space="preserve"> </w:t>
      </w:r>
      <w:r w:rsidR="0043108D">
        <w:rPr>
          <w:sz w:val="24"/>
          <w:szCs w:val="24"/>
          <w:lang w:val="lt-LT"/>
        </w:rPr>
        <w:t>skyriaus vedėjo pavaduotoja</w:t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43108D">
        <w:rPr>
          <w:sz w:val="24"/>
          <w:szCs w:val="24"/>
          <w:lang w:val="lt-LT"/>
        </w:rPr>
        <w:t>Rita Elmonienė</w:t>
      </w:r>
    </w:p>
    <w:p w14:paraId="68C54755" w14:textId="77777777" w:rsidR="001059F4" w:rsidRPr="00495A04" w:rsidRDefault="001059F4" w:rsidP="008E7F5B"/>
    <w:sectPr w:rsidR="001059F4" w:rsidRPr="00495A04" w:rsidSect="00397521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25342" w14:textId="77777777" w:rsidR="009F313C" w:rsidRDefault="009F313C">
      <w:r>
        <w:separator/>
      </w:r>
    </w:p>
  </w:endnote>
  <w:endnote w:type="continuationSeparator" w:id="0">
    <w:p w14:paraId="73AAF595" w14:textId="77777777" w:rsidR="009F313C" w:rsidRDefault="009F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0056A" w14:textId="77777777" w:rsidR="009F313C" w:rsidRDefault="009F313C">
      <w:r>
        <w:separator/>
      </w:r>
    </w:p>
  </w:footnote>
  <w:footnote w:type="continuationSeparator" w:id="0">
    <w:p w14:paraId="67261760" w14:textId="77777777" w:rsidR="009F313C" w:rsidRDefault="009F3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68C54763" wp14:editId="68C5476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5475B" w14:textId="5FABF857" w:rsidR="00EB1BFB" w:rsidRPr="00F26541" w:rsidRDefault="00F26541" w:rsidP="00F26541">
    <w:pPr>
      <w:jc w:val="right"/>
      <w:rPr>
        <w:sz w:val="24"/>
        <w:szCs w:val="24"/>
      </w:rPr>
    </w:pPr>
    <w:r w:rsidRPr="00F26541">
      <w:rPr>
        <w:sz w:val="24"/>
        <w:szCs w:val="24"/>
        <w:lang w:val="lt-LT"/>
      </w:rPr>
      <w:t>Projektas</w:t>
    </w:r>
  </w:p>
  <w:p w14:paraId="68C5475C" w14:textId="63630110" w:rsidR="00EB1BFB" w:rsidRPr="00F26541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5AA4B60E" w14:textId="77777777" w:rsidR="00F26541" w:rsidRDefault="00F26541" w:rsidP="00F26541">
    <w:pPr>
      <w:jc w:val="center"/>
      <w:rPr>
        <w:b/>
        <w:sz w:val="24"/>
        <w:szCs w:val="24"/>
      </w:rPr>
    </w:pPr>
  </w:p>
  <w:p w14:paraId="68C54760" w14:textId="77777777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F35"/>
    <w:rsid w:val="000109A9"/>
    <w:rsid w:val="000303BA"/>
    <w:rsid w:val="000315AA"/>
    <w:rsid w:val="00035E8A"/>
    <w:rsid w:val="00036EC1"/>
    <w:rsid w:val="00047E58"/>
    <w:rsid w:val="00053CD0"/>
    <w:rsid w:val="00066845"/>
    <w:rsid w:val="00073C9D"/>
    <w:rsid w:val="00084F16"/>
    <w:rsid w:val="00087006"/>
    <w:rsid w:val="000903F4"/>
    <w:rsid w:val="0009042E"/>
    <w:rsid w:val="000A2490"/>
    <w:rsid w:val="000A56FC"/>
    <w:rsid w:val="000A5D58"/>
    <w:rsid w:val="000B5445"/>
    <w:rsid w:val="000D4E10"/>
    <w:rsid w:val="000D575F"/>
    <w:rsid w:val="000D5DBA"/>
    <w:rsid w:val="000E2BBD"/>
    <w:rsid w:val="00101D01"/>
    <w:rsid w:val="001038C4"/>
    <w:rsid w:val="001059F4"/>
    <w:rsid w:val="001129BE"/>
    <w:rsid w:val="00112CA9"/>
    <w:rsid w:val="00113C20"/>
    <w:rsid w:val="00120BAE"/>
    <w:rsid w:val="00127CFD"/>
    <w:rsid w:val="00135AC5"/>
    <w:rsid w:val="00137EC8"/>
    <w:rsid w:val="0014055B"/>
    <w:rsid w:val="001441C4"/>
    <w:rsid w:val="00152D24"/>
    <w:rsid w:val="00152E45"/>
    <w:rsid w:val="0015371A"/>
    <w:rsid w:val="0015477C"/>
    <w:rsid w:val="00161653"/>
    <w:rsid w:val="00164591"/>
    <w:rsid w:val="0017378B"/>
    <w:rsid w:val="00177F0E"/>
    <w:rsid w:val="001809B3"/>
    <w:rsid w:val="0018111A"/>
    <w:rsid w:val="0018130C"/>
    <w:rsid w:val="00183E6E"/>
    <w:rsid w:val="00191DAB"/>
    <w:rsid w:val="001940FC"/>
    <w:rsid w:val="001B0982"/>
    <w:rsid w:val="001B29E7"/>
    <w:rsid w:val="001B55E9"/>
    <w:rsid w:val="001D4E78"/>
    <w:rsid w:val="001E124E"/>
    <w:rsid w:val="001E755B"/>
    <w:rsid w:val="001F3805"/>
    <w:rsid w:val="001F3895"/>
    <w:rsid w:val="00206205"/>
    <w:rsid w:val="00223B2F"/>
    <w:rsid w:val="0022614D"/>
    <w:rsid w:val="00251513"/>
    <w:rsid w:val="00256066"/>
    <w:rsid w:val="002717F6"/>
    <w:rsid w:val="00273D93"/>
    <w:rsid w:val="0028077D"/>
    <w:rsid w:val="00280B6C"/>
    <w:rsid w:val="0028302F"/>
    <w:rsid w:val="00295C8B"/>
    <w:rsid w:val="00295FBB"/>
    <w:rsid w:val="002A36E9"/>
    <w:rsid w:val="002B21A1"/>
    <w:rsid w:val="002B4ADE"/>
    <w:rsid w:val="002B55F6"/>
    <w:rsid w:val="002C227A"/>
    <w:rsid w:val="002C4706"/>
    <w:rsid w:val="002C5A5E"/>
    <w:rsid w:val="002C7A7D"/>
    <w:rsid w:val="002D1C8D"/>
    <w:rsid w:val="002D2A7B"/>
    <w:rsid w:val="002E0BD5"/>
    <w:rsid w:val="002E36B0"/>
    <w:rsid w:val="002F3AA1"/>
    <w:rsid w:val="00315894"/>
    <w:rsid w:val="00327636"/>
    <w:rsid w:val="00327F82"/>
    <w:rsid w:val="00336BCC"/>
    <w:rsid w:val="003450BD"/>
    <w:rsid w:val="00345B13"/>
    <w:rsid w:val="0034727E"/>
    <w:rsid w:val="00351904"/>
    <w:rsid w:val="00356FB7"/>
    <w:rsid w:val="00357C84"/>
    <w:rsid w:val="00375E58"/>
    <w:rsid w:val="00383EF3"/>
    <w:rsid w:val="0038401C"/>
    <w:rsid w:val="003860F0"/>
    <w:rsid w:val="0039149B"/>
    <w:rsid w:val="00393A55"/>
    <w:rsid w:val="00397521"/>
    <w:rsid w:val="003A066F"/>
    <w:rsid w:val="003A2F5A"/>
    <w:rsid w:val="003A5939"/>
    <w:rsid w:val="003A594C"/>
    <w:rsid w:val="003B2703"/>
    <w:rsid w:val="003D4102"/>
    <w:rsid w:val="003D44FF"/>
    <w:rsid w:val="003E0EA4"/>
    <w:rsid w:val="003E2D48"/>
    <w:rsid w:val="003E3F39"/>
    <w:rsid w:val="003E56E7"/>
    <w:rsid w:val="003E684C"/>
    <w:rsid w:val="003F7AF5"/>
    <w:rsid w:val="00402495"/>
    <w:rsid w:val="00402741"/>
    <w:rsid w:val="00404623"/>
    <w:rsid w:val="00404F18"/>
    <w:rsid w:val="00406170"/>
    <w:rsid w:val="00422F0A"/>
    <w:rsid w:val="0043108D"/>
    <w:rsid w:val="00431FE0"/>
    <w:rsid w:val="00435287"/>
    <w:rsid w:val="00441928"/>
    <w:rsid w:val="00454130"/>
    <w:rsid w:val="00466B0A"/>
    <w:rsid w:val="00471595"/>
    <w:rsid w:val="00477720"/>
    <w:rsid w:val="00481610"/>
    <w:rsid w:val="00482D4C"/>
    <w:rsid w:val="004855CF"/>
    <w:rsid w:val="00492203"/>
    <w:rsid w:val="0049300E"/>
    <w:rsid w:val="00495A04"/>
    <w:rsid w:val="004965F7"/>
    <w:rsid w:val="004C3281"/>
    <w:rsid w:val="004C3DD3"/>
    <w:rsid w:val="004C7908"/>
    <w:rsid w:val="004E1466"/>
    <w:rsid w:val="004E3ED5"/>
    <w:rsid w:val="004E4FFD"/>
    <w:rsid w:val="004E5DD1"/>
    <w:rsid w:val="004E7DB8"/>
    <w:rsid w:val="004F4412"/>
    <w:rsid w:val="0050375B"/>
    <w:rsid w:val="0051454F"/>
    <w:rsid w:val="00515F28"/>
    <w:rsid w:val="00521BF5"/>
    <w:rsid w:val="00532FBB"/>
    <w:rsid w:val="00533A94"/>
    <w:rsid w:val="005468D6"/>
    <w:rsid w:val="00573094"/>
    <w:rsid w:val="005815ED"/>
    <w:rsid w:val="00590F26"/>
    <w:rsid w:val="00591615"/>
    <w:rsid w:val="00591796"/>
    <w:rsid w:val="00597683"/>
    <w:rsid w:val="005A3B53"/>
    <w:rsid w:val="005A5C4D"/>
    <w:rsid w:val="005A7710"/>
    <w:rsid w:val="005B1C79"/>
    <w:rsid w:val="005C0A2D"/>
    <w:rsid w:val="005C6908"/>
    <w:rsid w:val="005D1F42"/>
    <w:rsid w:val="005E4261"/>
    <w:rsid w:val="005E76F6"/>
    <w:rsid w:val="005F09BE"/>
    <w:rsid w:val="005F2E41"/>
    <w:rsid w:val="005F52FC"/>
    <w:rsid w:val="00605817"/>
    <w:rsid w:val="006069CA"/>
    <w:rsid w:val="006126FD"/>
    <w:rsid w:val="0061360F"/>
    <w:rsid w:val="00615054"/>
    <w:rsid w:val="00616799"/>
    <w:rsid w:val="006235D5"/>
    <w:rsid w:val="0062677E"/>
    <w:rsid w:val="00634C35"/>
    <w:rsid w:val="00642440"/>
    <w:rsid w:val="00650E19"/>
    <w:rsid w:val="0067194A"/>
    <w:rsid w:val="00691869"/>
    <w:rsid w:val="006A2DAF"/>
    <w:rsid w:val="006A760B"/>
    <w:rsid w:val="006B145C"/>
    <w:rsid w:val="006B7654"/>
    <w:rsid w:val="006C7A8E"/>
    <w:rsid w:val="006D0369"/>
    <w:rsid w:val="006D7E17"/>
    <w:rsid w:val="006F2773"/>
    <w:rsid w:val="006F3C10"/>
    <w:rsid w:val="006F7BEF"/>
    <w:rsid w:val="00702E4A"/>
    <w:rsid w:val="00706689"/>
    <w:rsid w:val="007150A0"/>
    <w:rsid w:val="007239D3"/>
    <w:rsid w:val="007249EB"/>
    <w:rsid w:val="00732426"/>
    <w:rsid w:val="00737C7D"/>
    <w:rsid w:val="00762048"/>
    <w:rsid w:val="00791DED"/>
    <w:rsid w:val="007A1C45"/>
    <w:rsid w:val="007A5D76"/>
    <w:rsid w:val="007B0168"/>
    <w:rsid w:val="007B21DD"/>
    <w:rsid w:val="007B39C1"/>
    <w:rsid w:val="007B5261"/>
    <w:rsid w:val="007C2AFF"/>
    <w:rsid w:val="007C5791"/>
    <w:rsid w:val="007C737C"/>
    <w:rsid w:val="007F139A"/>
    <w:rsid w:val="007F2E5F"/>
    <w:rsid w:val="007F3B62"/>
    <w:rsid w:val="00804E12"/>
    <w:rsid w:val="00825226"/>
    <w:rsid w:val="00826C1A"/>
    <w:rsid w:val="00833919"/>
    <w:rsid w:val="008353BD"/>
    <w:rsid w:val="00840C2D"/>
    <w:rsid w:val="008471FD"/>
    <w:rsid w:val="008527D1"/>
    <w:rsid w:val="00860126"/>
    <w:rsid w:val="00862621"/>
    <w:rsid w:val="00862ADE"/>
    <w:rsid w:val="008739F3"/>
    <w:rsid w:val="00876977"/>
    <w:rsid w:val="008772FA"/>
    <w:rsid w:val="008777CF"/>
    <w:rsid w:val="00880DC0"/>
    <w:rsid w:val="0088180C"/>
    <w:rsid w:val="00881D26"/>
    <w:rsid w:val="00883412"/>
    <w:rsid w:val="00886ED2"/>
    <w:rsid w:val="00891BB7"/>
    <w:rsid w:val="008948BD"/>
    <w:rsid w:val="008A3875"/>
    <w:rsid w:val="008C3749"/>
    <w:rsid w:val="008C39F5"/>
    <w:rsid w:val="008E0367"/>
    <w:rsid w:val="008E28DE"/>
    <w:rsid w:val="008E2D6D"/>
    <w:rsid w:val="008E48D2"/>
    <w:rsid w:val="008E7F5B"/>
    <w:rsid w:val="008F3E4E"/>
    <w:rsid w:val="008F623C"/>
    <w:rsid w:val="008F6439"/>
    <w:rsid w:val="00912BDD"/>
    <w:rsid w:val="00915EF0"/>
    <w:rsid w:val="00917406"/>
    <w:rsid w:val="00925F58"/>
    <w:rsid w:val="009261DD"/>
    <w:rsid w:val="00926690"/>
    <w:rsid w:val="009330E9"/>
    <w:rsid w:val="009339A7"/>
    <w:rsid w:val="00933FA4"/>
    <w:rsid w:val="009355C3"/>
    <w:rsid w:val="009373F7"/>
    <w:rsid w:val="00941231"/>
    <w:rsid w:val="00941467"/>
    <w:rsid w:val="00943726"/>
    <w:rsid w:val="009523E3"/>
    <w:rsid w:val="00953188"/>
    <w:rsid w:val="0096085E"/>
    <w:rsid w:val="00961088"/>
    <w:rsid w:val="0097237D"/>
    <w:rsid w:val="009725C9"/>
    <w:rsid w:val="00973791"/>
    <w:rsid w:val="0098220B"/>
    <w:rsid w:val="009A1E0F"/>
    <w:rsid w:val="009A6BEF"/>
    <w:rsid w:val="009B3738"/>
    <w:rsid w:val="009C1F16"/>
    <w:rsid w:val="009C7B8F"/>
    <w:rsid w:val="009D127B"/>
    <w:rsid w:val="009D4B2B"/>
    <w:rsid w:val="009E2713"/>
    <w:rsid w:val="009E5B3B"/>
    <w:rsid w:val="009E6EAB"/>
    <w:rsid w:val="009F313C"/>
    <w:rsid w:val="00A02431"/>
    <w:rsid w:val="00A04606"/>
    <w:rsid w:val="00A06D21"/>
    <w:rsid w:val="00A25805"/>
    <w:rsid w:val="00A25F70"/>
    <w:rsid w:val="00A26624"/>
    <w:rsid w:val="00A43887"/>
    <w:rsid w:val="00A539D2"/>
    <w:rsid w:val="00A63D8F"/>
    <w:rsid w:val="00A81935"/>
    <w:rsid w:val="00A92EAF"/>
    <w:rsid w:val="00AA205A"/>
    <w:rsid w:val="00AC1089"/>
    <w:rsid w:val="00AC2174"/>
    <w:rsid w:val="00AC6EFA"/>
    <w:rsid w:val="00AC7F3B"/>
    <w:rsid w:val="00AD2373"/>
    <w:rsid w:val="00AE0B3A"/>
    <w:rsid w:val="00AE31EA"/>
    <w:rsid w:val="00AE45FD"/>
    <w:rsid w:val="00AF0F2B"/>
    <w:rsid w:val="00B0275C"/>
    <w:rsid w:val="00B103CD"/>
    <w:rsid w:val="00B21FA0"/>
    <w:rsid w:val="00B25EA9"/>
    <w:rsid w:val="00B30C26"/>
    <w:rsid w:val="00B3580C"/>
    <w:rsid w:val="00B42104"/>
    <w:rsid w:val="00B52CC9"/>
    <w:rsid w:val="00B53EC6"/>
    <w:rsid w:val="00B626C3"/>
    <w:rsid w:val="00B63065"/>
    <w:rsid w:val="00B654F9"/>
    <w:rsid w:val="00B65CE4"/>
    <w:rsid w:val="00B6626F"/>
    <w:rsid w:val="00B67248"/>
    <w:rsid w:val="00B94352"/>
    <w:rsid w:val="00B95432"/>
    <w:rsid w:val="00BB0AEE"/>
    <w:rsid w:val="00BB3C1D"/>
    <w:rsid w:val="00BB4416"/>
    <w:rsid w:val="00BB5448"/>
    <w:rsid w:val="00BD2B91"/>
    <w:rsid w:val="00BF1C9E"/>
    <w:rsid w:val="00C01403"/>
    <w:rsid w:val="00C03D94"/>
    <w:rsid w:val="00C0567E"/>
    <w:rsid w:val="00C0579C"/>
    <w:rsid w:val="00C07F07"/>
    <w:rsid w:val="00C146CD"/>
    <w:rsid w:val="00C22277"/>
    <w:rsid w:val="00C3379F"/>
    <w:rsid w:val="00C345A0"/>
    <w:rsid w:val="00C34648"/>
    <w:rsid w:val="00C40FEB"/>
    <w:rsid w:val="00C43834"/>
    <w:rsid w:val="00C449E3"/>
    <w:rsid w:val="00C64ED1"/>
    <w:rsid w:val="00C6605C"/>
    <w:rsid w:val="00C6637B"/>
    <w:rsid w:val="00C674B0"/>
    <w:rsid w:val="00C70E76"/>
    <w:rsid w:val="00C800BE"/>
    <w:rsid w:val="00C816FE"/>
    <w:rsid w:val="00C82724"/>
    <w:rsid w:val="00C8776E"/>
    <w:rsid w:val="00C90E37"/>
    <w:rsid w:val="00C9370D"/>
    <w:rsid w:val="00CA1639"/>
    <w:rsid w:val="00CA536C"/>
    <w:rsid w:val="00CA7A49"/>
    <w:rsid w:val="00CC5051"/>
    <w:rsid w:val="00CC684B"/>
    <w:rsid w:val="00CD0DFC"/>
    <w:rsid w:val="00CD38C7"/>
    <w:rsid w:val="00CE0027"/>
    <w:rsid w:val="00D02FAE"/>
    <w:rsid w:val="00D03163"/>
    <w:rsid w:val="00D056C9"/>
    <w:rsid w:val="00D057EC"/>
    <w:rsid w:val="00D05974"/>
    <w:rsid w:val="00D060DF"/>
    <w:rsid w:val="00D111A0"/>
    <w:rsid w:val="00D17395"/>
    <w:rsid w:val="00D2091D"/>
    <w:rsid w:val="00D26423"/>
    <w:rsid w:val="00D276B0"/>
    <w:rsid w:val="00D277D6"/>
    <w:rsid w:val="00D32394"/>
    <w:rsid w:val="00D35D16"/>
    <w:rsid w:val="00D51281"/>
    <w:rsid w:val="00D65E62"/>
    <w:rsid w:val="00D773A4"/>
    <w:rsid w:val="00D95AB6"/>
    <w:rsid w:val="00D9755F"/>
    <w:rsid w:val="00DB1B80"/>
    <w:rsid w:val="00DB35CE"/>
    <w:rsid w:val="00DB7744"/>
    <w:rsid w:val="00DE738F"/>
    <w:rsid w:val="00E00CF8"/>
    <w:rsid w:val="00E03691"/>
    <w:rsid w:val="00E124F1"/>
    <w:rsid w:val="00E17AF0"/>
    <w:rsid w:val="00E17CB5"/>
    <w:rsid w:val="00E25C95"/>
    <w:rsid w:val="00E32D55"/>
    <w:rsid w:val="00E41615"/>
    <w:rsid w:val="00E42327"/>
    <w:rsid w:val="00E561C9"/>
    <w:rsid w:val="00E65675"/>
    <w:rsid w:val="00E750C3"/>
    <w:rsid w:val="00E876C9"/>
    <w:rsid w:val="00E87D6A"/>
    <w:rsid w:val="00EA68D0"/>
    <w:rsid w:val="00EB1BFB"/>
    <w:rsid w:val="00EB1E20"/>
    <w:rsid w:val="00EB2DB5"/>
    <w:rsid w:val="00EC5728"/>
    <w:rsid w:val="00ED01A4"/>
    <w:rsid w:val="00ED26E0"/>
    <w:rsid w:val="00EE1119"/>
    <w:rsid w:val="00EE26F6"/>
    <w:rsid w:val="00EF0ABA"/>
    <w:rsid w:val="00EF3B3C"/>
    <w:rsid w:val="00F12E2A"/>
    <w:rsid w:val="00F26541"/>
    <w:rsid w:val="00F268E7"/>
    <w:rsid w:val="00F30B0A"/>
    <w:rsid w:val="00F31415"/>
    <w:rsid w:val="00F441AA"/>
    <w:rsid w:val="00F514AF"/>
    <w:rsid w:val="00F51557"/>
    <w:rsid w:val="00F521E0"/>
    <w:rsid w:val="00F5672D"/>
    <w:rsid w:val="00F60BC9"/>
    <w:rsid w:val="00F629CF"/>
    <w:rsid w:val="00F633D1"/>
    <w:rsid w:val="00F73E08"/>
    <w:rsid w:val="00F80D4B"/>
    <w:rsid w:val="00F816A8"/>
    <w:rsid w:val="00FA06A2"/>
    <w:rsid w:val="00FA7F10"/>
    <w:rsid w:val="00FB028B"/>
    <w:rsid w:val="00FB0A9B"/>
    <w:rsid w:val="00FB46BB"/>
    <w:rsid w:val="00FB5DB0"/>
    <w:rsid w:val="00FB6C72"/>
    <w:rsid w:val="00FC1353"/>
    <w:rsid w:val="00FD7B4B"/>
    <w:rsid w:val="00FE44D3"/>
    <w:rsid w:val="00FE6FD3"/>
    <w:rsid w:val="00FE7542"/>
    <w:rsid w:val="00FE7F0D"/>
    <w:rsid w:val="00FF0100"/>
    <w:rsid w:val="00FF3B62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873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2021-09-03T09:15:00Z</cp:lastPrinted>
  <dcterms:created xsi:type="dcterms:W3CDTF">2021-11-18T08:41:00Z</dcterms:created>
  <dcterms:modified xsi:type="dcterms:W3CDTF">2021-11-18T08:41:00Z</dcterms:modified>
</cp:coreProperties>
</file>