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0711C" w14:textId="221C6DA9" w:rsidR="001B3554" w:rsidRPr="00BD0868" w:rsidRDefault="00EA7D09" w:rsidP="00EA7D09">
      <w:pPr>
        <w:spacing w:after="0" w:line="240" w:lineRule="auto"/>
        <w:jc w:val="center"/>
        <w:rPr>
          <w:sz w:val="24"/>
          <w:szCs w:val="24"/>
        </w:rPr>
      </w:pPr>
      <w:r w:rsidRPr="00BC05BE">
        <w:rPr>
          <w:noProof/>
          <w:sz w:val="24"/>
          <w:szCs w:val="24"/>
          <w:lang w:val="en-US"/>
        </w:rPr>
        <w:drawing>
          <wp:inline distT="0" distB="0" distL="0" distR="0" wp14:anchorId="37A7BCDE" wp14:editId="39056DA3">
            <wp:extent cx="542925" cy="695325"/>
            <wp:effectExtent l="0" t="0" r="9525" b="9525"/>
            <wp:docPr id="2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66CE0" w14:textId="77777777" w:rsidR="00BD0868" w:rsidRPr="00BD0868" w:rsidRDefault="00BD0868" w:rsidP="00A61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60711D" w14:textId="77777777" w:rsidR="001B3554" w:rsidRPr="00BD0868" w:rsidRDefault="001B3554" w:rsidP="00A61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08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ROKIŠKIO RAJONO SAVIVALDYBĖS TARYBA</w:t>
      </w:r>
    </w:p>
    <w:p w14:paraId="4660711E" w14:textId="77777777" w:rsidR="007C6784" w:rsidRPr="00BD0868" w:rsidRDefault="007C6784" w:rsidP="00A611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1B3554" w:rsidRPr="00BD0868" w14:paraId="46607123" w14:textId="77777777" w:rsidTr="001B3554">
        <w:tc>
          <w:tcPr>
            <w:tcW w:w="9667" w:type="dxa"/>
            <w:gridSpan w:val="5"/>
            <w:hideMark/>
          </w:tcPr>
          <w:p w14:paraId="46607122" w14:textId="77777777" w:rsidR="001B3554" w:rsidRPr="00BD0868" w:rsidRDefault="001B3554" w:rsidP="00A6119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0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SPRENDIMAS</w:t>
            </w:r>
          </w:p>
        </w:tc>
      </w:tr>
      <w:tr w:rsidR="001B3554" w:rsidRPr="001B3554" w14:paraId="46607126" w14:textId="77777777" w:rsidTr="001B3554">
        <w:tc>
          <w:tcPr>
            <w:tcW w:w="9667" w:type="dxa"/>
            <w:gridSpan w:val="5"/>
            <w:hideMark/>
          </w:tcPr>
          <w:p w14:paraId="46607124" w14:textId="5D555A84" w:rsidR="00390E52" w:rsidRDefault="001B3554" w:rsidP="00390E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3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DĖL </w:t>
            </w:r>
            <w:r w:rsidR="00AF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ROKIŠKIO RAJONO </w:t>
            </w:r>
            <w:r w:rsidRPr="00E03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SAVIVALDYBĖS </w:t>
            </w:r>
            <w:r w:rsidR="00AF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TARYBOS</w:t>
            </w:r>
          </w:p>
          <w:p w14:paraId="46607125" w14:textId="77777777" w:rsidR="001B3554" w:rsidRPr="001B3554" w:rsidRDefault="001B3554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B3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ANTIKORUPCIJOS KOMISIJOS</w:t>
            </w:r>
            <w:r w:rsidRPr="00E03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NUOSTATŲ</w:t>
            </w:r>
            <w:r w:rsidR="00A6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23105" w:rsidRPr="00E03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</w:t>
            </w:r>
            <w:r w:rsidR="00A6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TVIRTINIMO</w:t>
            </w:r>
          </w:p>
        </w:tc>
      </w:tr>
      <w:tr w:rsidR="001B3554" w:rsidRPr="001B3554" w14:paraId="4660712C" w14:textId="77777777" w:rsidTr="001B3554">
        <w:tc>
          <w:tcPr>
            <w:tcW w:w="4503" w:type="dxa"/>
          </w:tcPr>
          <w:p w14:paraId="46607127" w14:textId="77777777" w:rsidR="001B3554" w:rsidRPr="001B3554" w:rsidRDefault="001B3554" w:rsidP="00A611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</w:tcPr>
          <w:p w14:paraId="46607128" w14:textId="77777777" w:rsidR="001B3554" w:rsidRPr="001B3554" w:rsidRDefault="001B3554" w:rsidP="00A611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</w:tcPr>
          <w:p w14:paraId="46607129" w14:textId="77777777" w:rsidR="001B3554" w:rsidRPr="001B3554" w:rsidRDefault="001B3554" w:rsidP="00A611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" w:type="dxa"/>
          </w:tcPr>
          <w:p w14:paraId="4660712A" w14:textId="77777777" w:rsidR="001B3554" w:rsidRPr="001B3554" w:rsidRDefault="001B3554" w:rsidP="00A611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14:paraId="4660712B" w14:textId="77777777" w:rsidR="001B3554" w:rsidRPr="001B3554" w:rsidRDefault="001B3554" w:rsidP="00A6119D">
            <w:pPr>
              <w:suppressAutoHyphens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3554" w:rsidRPr="001B3554" w14:paraId="46607138" w14:textId="77777777" w:rsidTr="001B3554">
        <w:tc>
          <w:tcPr>
            <w:tcW w:w="9667" w:type="dxa"/>
            <w:gridSpan w:val="5"/>
          </w:tcPr>
          <w:p w14:paraId="4660712D" w14:textId="77777777" w:rsidR="001B3554" w:rsidRPr="00E0337A" w:rsidRDefault="004215B3" w:rsidP="00A6119D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1B3554" w:rsidRPr="001B3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m. </w:t>
            </w:r>
            <w:r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sausio 29</w:t>
            </w:r>
            <w:r w:rsidR="001B3554" w:rsidRPr="001B3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 Nr. TS-</w:t>
            </w:r>
          </w:p>
          <w:p w14:paraId="4660712E" w14:textId="77777777" w:rsidR="004215B3" w:rsidRDefault="004215B3" w:rsidP="00A6119D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Rokiškis</w:t>
            </w:r>
          </w:p>
          <w:p w14:paraId="4660712F" w14:textId="77777777" w:rsidR="007C6784" w:rsidRDefault="007C6784" w:rsidP="00A6119D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607130" w14:textId="77777777" w:rsidR="00A6119D" w:rsidRPr="00E0337A" w:rsidRDefault="00A6119D" w:rsidP="00A6119D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A2C749" w14:textId="29BBED5A" w:rsidR="00A26E41" w:rsidRDefault="00A6119D" w:rsidP="004575C5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Vadovaudamasi Lietuvos Respublikos vietos savivaldos į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statymo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15 str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aipsnio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 d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alimi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 dalimi, 7 dalimi, 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1 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straipsniu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F4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 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aipsnio</w:t>
            </w:r>
            <w:r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dalies 6</w:t>
            </w:r>
            <w:r w:rsidR="007F4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punktu,</w:t>
            </w:r>
            <w:r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aipsnio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dalimi</w:t>
            </w:r>
            <w:r w:rsidR="004215B3"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Rokiškio rajono savivaldybės tarybos veik</w:t>
            </w:r>
            <w:r w:rsidR="00C234BD"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los reglame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nto, </w:t>
            </w:r>
            <w:r w:rsidR="00C234BD"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patvirtinto 2020 m. gruodžio 23</w:t>
            </w:r>
            <w:r w:rsidR="004215B3"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d. Rokiškio rajono savivaldybės tarybos sprendimo</w:t>
            </w:r>
            <w:r w:rsidR="00845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15B3"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Nr. TS-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34BD"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575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34FD2" w:rsidRPr="00E033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12.5 </w:t>
            </w:r>
            <w:r w:rsidR="004215B3"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punktu</w:t>
            </w:r>
            <w:r w:rsidR="00C67E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8A0D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15B3"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Rokiškio rajono savivaldybės taryba </w:t>
            </w:r>
            <w:r w:rsidR="007C6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6607131" w14:textId="27C41DE7" w:rsidR="004215B3" w:rsidRPr="004215B3" w:rsidRDefault="004215B3" w:rsidP="00A26E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1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 u s p r e n d ž i a:</w:t>
            </w:r>
          </w:p>
          <w:p w14:paraId="46607132" w14:textId="77777777" w:rsidR="00EB537F" w:rsidRDefault="00EB537F" w:rsidP="00BD0868">
            <w:pPr>
              <w:pStyle w:val="Sraopastraipa"/>
              <w:tabs>
                <w:tab w:val="left" w:pos="1134"/>
              </w:tabs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Patvirtinti Rokiškio rajono savivaldybės tarybos Antikorupcijos komisijos nuostatus (pridedama). </w:t>
            </w:r>
          </w:p>
          <w:p w14:paraId="1F0F764A" w14:textId="199685EC" w:rsidR="00FE4CBD" w:rsidRDefault="007C6784" w:rsidP="00FE4CBD">
            <w:pPr>
              <w:pStyle w:val="Sraopastraipa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Pripažinti netekusiu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galios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Rokiškio rajono savivaldybės tarybos</w:t>
            </w:r>
            <w:r w:rsidR="000538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2019 m. gegužės 31 d. </w:t>
            </w:r>
            <w:r w:rsidR="00EB53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sprendimo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Nr. TS-125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„Dėl Rokiškio rajono savivaldybės tarybos</w:t>
            </w:r>
            <w:r w:rsidR="00AF2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antikorupcijos komisijos sudarymo“</w:t>
            </w:r>
            <w:r w:rsidR="00FB5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 punktą.</w:t>
            </w:r>
          </w:p>
          <w:p w14:paraId="1577BF69" w14:textId="77777777" w:rsidR="00FE4CBD" w:rsidRDefault="00FB5D30" w:rsidP="00FE4CBD">
            <w:pPr>
              <w:pStyle w:val="Sraopastraipa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7C6784" w:rsidRPr="007C6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Skelbti šį sprendimą Rokiškio rajono savivaldybės tinklalapyje, Teisės aktų registre.</w:t>
            </w:r>
          </w:p>
          <w:p w14:paraId="46607135" w14:textId="2DF6D77E" w:rsidR="00EB537F" w:rsidRPr="00EB537F" w:rsidRDefault="007C6784" w:rsidP="00FE4CBD">
            <w:pPr>
              <w:pStyle w:val="Sraopastraipa"/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Sprendimas per vieną mėnesį gali būti skundžiamas </w:t>
            </w:r>
            <w:r w:rsidRPr="007C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Regionų apygardos administracinio teismo Panevėžio rūmams (Respublikos g. 62, Panevėžys) Lietuvos Respublikos administracinių bylų teisenos įstatymo nustatyta tvarka.</w:t>
            </w:r>
          </w:p>
          <w:p w14:paraId="46607136" w14:textId="77777777" w:rsidR="004215B3" w:rsidRPr="001B3554" w:rsidRDefault="004215B3" w:rsidP="00A6119D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607137" w14:textId="77777777" w:rsidR="001B3554" w:rsidRPr="001B3554" w:rsidRDefault="001B3554" w:rsidP="00A6119D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5B3" w:rsidRPr="00E0337A" w14:paraId="4660713A" w14:textId="77777777" w:rsidTr="001B3554">
        <w:tc>
          <w:tcPr>
            <w:tcW w:w="9667" w:type="dxa"/>
            <w:gridSpan w:val="5"/>
          </w:tcPr>
          <w:p w14:paraId="46607139" w14:textId="77777777" w:rsidR="004215B3" w:rsidRPr="00E0337A" w:rsidRDefault="004215B3" w:rsidP="00A6119D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15B3" w:rsidRPr="00E0337A" w14:paraId="4660713C" w14:textId="77777777" w:rsidTr="001B3554">
        <w:tc>
          <w:tcPr>
            <w:tcW w:w="9667" w:type="dxa"/>
            <w:gridSpan w:val="5"/>
          </w:tcPr>
          <w:p w14:paraId="4660713B" w14:textId="77777777" w:rsidR="004215B3" w:rsidRPr="00E0337A" w:rsidRDefault="004215B3" w:rsidP="00A6119D">
            <w:pPr>
              <w:suppressAutoHyphens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9C8115" w14:textId="77777777" w:rsidR="00BD0868" w:rsidRDefault="00BD0868" w:rsidP="007C6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07143" w14:textId="77777777" w:rsidR="007C6784" w:rsidRPr="007C6784" w:rsidRDefault="007C6784" w:rsidP="007C67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Ramūnas Godeliauskas</w:t>
      </w:r>
    </w:p>
    <w:p w14:paraId="46607144" w14:textId="77777777" w:rsidR="00E0337A" w:rsidRP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46607145" w14:textId="77777777" w:rsidR="00E0337A" w:rsidRP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46607146" w14:textId="77777777" w:rsidR="00E0337A" w:rsidRP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46607147" w14:textId="77777777" w:rsidR="00E0337A" w:rsidRP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46607148" w14:textId="77777777" w:rsidR="00E0337A" w:rsidRP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46607149" w14:textId="77777777" w:rsid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1510CE02" w14:textId="77777777" w:rsidR="00BD0868" w:rsidRDefault="00BD0868" w:rsidP="00A6119D">
      <w:pPr>
        <w:spacing w:after="0" w:line="240" w:lineRule="auto"/>
        <w:jc w:val="center"/>
        <w:rPr>
          <w:sz w:val="24"/>
          <w:szCs w:val="24"/>
        </w:rPr>
      </w:pPr>
    </w:p>
    <w:p w14:paraId="40BBF23A" w14:textId="77777777" w:rsidR="00BD0868" w:rsidRDefault="00BD0868" w:rsidP="00A6119D">
      <w:pPr>
        <w:spacing w:after="0" w:line="240" w:lineRule="auto"/>
        <w:jc w:val="center"/>
        <w:rPr>
          <w:sz w:val="24"/>
          <w:szCs w:val="24"/>
        </w:rPr>
      </w:pPr>
    </w:p>
    <w:p w14:paraId="05486A33" w14:textId="77777777" w:rsidR="00BD0868" w:rsidRDefault="00BD0868" w:rsidP="00A6119D">
      <w:pPr>
        <w:spacing w:after="0" w:line="240" w:lineRule="auto"/>
        <w:jc w:val="center"/>
        <w:rPr>
          <w:sz w:val="24"/>
          <w:szCs w:val="24"/>
        </w:rPr>
      </w:pPr>
    </w:p>
    <w:p w14:paraId="461ED2CF" w14:textId="77777777" w:rsidR="00BD0868" w:rsidRDefault="00BD0868" w:rsidP="00A6119D">
      <w:pPr>
        <w:spacing w:after="0" w:line="240" w:lineRule="auto"/>
        <w:jc w:val="center"/>
        <w:rPr>
          <w:sz w:val="24"/>
          <w:szCs w:val="24"/>
        </w:rPr>
      </w:pPr>
    </w:p>
    <w:p w14:paraId="278A3674" w14:textId="77777777" w:rsidR="00BD0868" w:rsidRDefault="00BD0868" w:rsidP="00A6119D">
      <w:pPr>
        <w:spacing w:after="0" w:line="240" w:lineRule="auto"/>
        <w:jc w:val="center"/>
        <w:rPr>
          <w:sz w:val="24"/>
          <w:szCs w:val="24"/>
        </w:rPr>
      </w:pPr>
    </w:p>
    <w:p w14:paraId="7C57BF27" w14:textId="77777777" w:rsidR="00BD0868" w:rsidRPr="00E0337A" w:rsidRDefault="00BD0868" w:rsidP="00A6119D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7"/>
      </w:tblGrid>
      <w:tr w:rsidR="00E0337A" w:rsidRPr="00E0337A" w14:paraId="4660714D" w14:textId="77777777" w:rsidTr="007F4EAC">
        <w:tc>
          <w:tcPr>
            <w:tcW w:w="9667" w:type="dxa"/>
            <w:hideMark/>
          </w:tcPr>
          <w:p w14:paraId="4660714C" w14:textId="77777777" w:rsidR="001B3554" w:rsidRPr="001B3554" w:rsidRDefault="001B3554" w:rsidP="00A6119D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0337A" w:rsidRPr="00E0337A" w14:paraId="46607157" w14:textId="77777777" w:rsidTr="007F4EAC">
        <w:tc>
          <w:tcPr>
            <w:tcW w:w="9667" w:type="dxa"/>
            <w:hideMark/>
          </w:tcPr>
          <w:p w14:paraId="4660714E" w14:textId="77777777" w:rsidR="00A6119D" w:rsidRDefault="00A6119D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19DA0A" w14:textId="77777777" w:rsidR="00BD0868" w:rsidRDefault="00BD0868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B5C706" w14:textId="77777777" w:rsidR="00FE4CBD" w:rsidRDefault="00FE4CBD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60714F" w14:textId="77777777" w:rsidR="00A6119D" w:rsidRDefault="007C6784" w:rsidP="007C6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Stasys Meliūnas</w:t>
            </w:r>
          </w:p>
          <w:p w14:paraId="4D4D3227" w14:textId="55E58A76" w:rsidR="00BD0868" w:rsidRDefault="00BD0868" w:rsidP="007C6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Rokiškio rajono savivaldybės tarybai</w:t>
            </w:r>
          </w:p>
          <w:p w14:paraId="2589ED18" w14:textId="77777777" w:rsidR="00BD0868" w:rsidRDefault="00BD0868" w:rsidP="007C6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596CEA" w14:textId="77777777" w:rsidR="00BD0868" w:rsidRPr="007C6784" w:rsidRDefault="00BD0868" w:rsidP="007C67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6607150" w14:textId="77777777" w:rsidR="007C6784" w:rsidRPr="007C6784" w:rsidRDefault="007C6784" w:rsidP="007C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SPRENDIMO PROJEKTO</w:t>
            </w:r>
          </w:p>
          <w:p w14:paraId="46607151" w14:textId="3B03FB74" w:rsidR="007C6784" w:rsidRPr="007C6784" w:rsidRDefault="00AA6E2B" w:rsidP="007C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,,</w:t>
            </w:r>
            <w:r w:rsidR="007C6784" w:rsidRPr="007C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DĖL ROKIŠKIO RAJONO SAVIVALDYBĖS </w:t>
            </w:r>
            <w:r w:rsidR="00AF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TARYBOS</w:t>
            </w:r>
          </w:p>
          <w:p w14:paraId="46607152" w14:textId="71AFD651" w:rsidR="00A6119D" w:rsidRDefault="007C6784" w:rsidP="007C67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ANTIKORUPCIJOS KOMISIJOS NUOSTATŲ PATVIRTINIMO</w:t>
            </w:r>
            <w:r w:rsidR="00AA6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“</w:t>
            </w:r>
          </w:p>
          <w:p w14:paraId="46607153" w14:textId="77777777" w:rsidR="00A6119D" w:rsidRDefault="007C6784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AIŠKINAMASIS RAŠTAS</w:t>
            </w:r>
          </w:p>
          <w:p w14:paraId="46607154" w14:textId="77777777" w:rsidR="007C6784" w:rsidRDefault="007C6784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6607155" w14:textId="77777777" w:rsidR="007C6784" w:rsidRPr="007C6784" w:rsidRDefault="007C6784" w:rsidP="00A611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6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2021-01-29</w:t>
            </w:r>
          </w:p>
          <w:p w14:paraId="46607156" w14:textId="77777777" w:rsidR="00E0337A" w:rsidRPr="001B3554" w:rsidRDefault="007C6784" w:rsidP="008337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67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Rokiškis</w:t>
            </w:r>
          </w:p>
        </w:tc>
      </w:tr>
    </w:tbl>
    <w:p w14:paraId="46607158" w14:textId="77777777" w:rsidR="00E0337A" w:rsidRPr="00E0337A" w:rsidRDefault="00E0337A" w:rsidP="00A6119D">
      <w:pPr>
        <w:spacing w:after="0" w:line="240" w:lineRule="auto"/>
        <w:jc w:val="center"/>
        <w:rPr>
          <w:sz w:val="24"/>
          <w:szCs w:val="24"/>
        </w:rPr>
      </w:pPr>
    </w:p>
    <w:p w14:paraId="4660715A" w14:textId="74B2FFD3" w:rsidR="00A6119D" w:rsidRPr="007C6784" w:rsidRDefault="00E0337A" w:rsidP="00AA6E2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784">
        <w:rPr>
          <w:rFonts w:ascii="Times New Roman" w:hAnsi="Times New Roman" w:cs="Times New Roman"/>
          <w:b/>
          <w:sz w:val="24"/>
          <w:szCs w:val="24"/>
        </w:rPr>
        <w:t>Parengto sprendimo projekto tikslai ir uždaviniai.</w:t>
      </w:r>
      <w:r w:rsidR="00AA6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rajono savivaldybės tarybos </w:t>
      </w:r>
      <w:r w:rsidR="003E30DE">
        <w:rPr>
          <w:rFonts w:ascii="Times New Roman" w:eastAsia="Times New Roman" w:hAnsi="Times New Roman" w:cs="Times New Roman"/>
          <w:sz w:val="24"/>
          <w:szCs w:val="24"/>
          <w:lang w:eastAsia="ar-SA"/>
        </w:rPr>
        <w:t>Antikorupcijos komisijos nuostatai</w:t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turi atitikti Lietuvos Respublikos vietos savivaldos įstatymo </w:t>
      </w:r>
      <w:r w:rsidR="003E30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ir Rokiškio rajono savivaldybės tarybos veiklos reglamento </w:t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nuostatas. Pakeitus Lietuvos Respublikos vietos savivaldos įstatym</w:t>
      </w:r>
      <w:r w:rsidR="00AA6E2B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30DE">
        <w:rPr>
          <w:rFonts w:ascii="Times New Roman" w:eastAsia="Times New Roman" w:hAnsi="Times New Roman" w:cs="Times New Roman"/>
          <w:sz w:val="24"/>
          <w:szCs w:val="24"/>
          <w:lang w:eastAsia="ar-SA"/>
        </w:rPr>
        <w:t>ir Rokiškio rajono savivaldybės tarybos veiklos reglament</w:t>
      </w:r>
      <w:r w:rsidR="00AA6E2B">
        <w:rPr>
          <w:rFonts w:ascii="Times New Roman" w:eastAsia="Times New Roman" w:hAnsi="Times New Roman" w:cs="Times New Roman"/>
          <w:sz w:val="24"/>
          <w:szCs w:val="24"/>
          <w:lang w:eastAsia="ar-SA"/>
        </w:rPr>
        <w:t>ą,</w:t>
      </w:r>
      <w:r w:rsidR="003E30DE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būtina keisti Rokiškio rajono savivaldybės tarybos </w:t>
      </w:r>
      <w:r w:rsidR="003E30DE">
        <w:rPr>
          <w:rFonts w:ascii="Times New Roman" w:eastAsia="Times New Roman" w:hAnsi="Times New Roman" w:cs="Times New Roman"/>
          <w:sz w:val="24"/>
          <w:szCs w:val="24"/>
          <w:lang w:eastAsia="ar-SA"/>
        </w:rPr>
        <w:t>Antikorupcijos komisijos nuostatus</w:t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60715B" w14:textId="77777777" w:rsidR="00A6119D" w:rsidRPr="007C6784" w:rsidRDefault="00A6119D" w:rsidP="0083373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Šiuo metu esantis teisinis reglamentavimas.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Lietuvos Respubli</w:t>
      </w:r>
      <w:r w:rsidR="003E30DE">
        <w:rPr>
          <w:rFonts w:ascii="Times New Roman" w:eastAsia="Times New Roman" w:hAnsi="Times New Roman" w:cs="Times New Roman"/>
          <w:sz w:val="24"/>
          <w:szCs w:val="24"/>
          <w:lang w:eastAsia="ar-SA"/>
        </w:rPr>
        <w:t>kos vietos savivaldos įstatymas ir Rokiškio rajono savivaldybės tarybos veiklos reglamentas.</w:t>
      </w:r>
    </w:p>
    <w:p w14:paraId="4660715D" w14:textId="22EBF190" w:rsidR="00A6119D" w:rsidRPr="00AA6E2B" w:rsidRDefault="00A6119D" w:rsidP="00AA6E2B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Sprendimo projekto esmė.</w:t>
      </w:r>
      <w:r w:rsidR="00AA6E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Lietuvos Respublikos Seimas 2020 m. kovo 17 d. priėmė Lietuvos Respublikos vietos savivaldos įstatymo Nr. I-533 13, 14 ir 15 straipsnių pakeitimo įstatymą Nr. XIII-2818, 2020 m. kovo 31 d. – Lietuvos Respublikos vietos savivaldos įstatymo Nr. I-533 13, 14 ir 15 straipsnių pakei</w:t>
      </w:r>
      <w:r w:rsidR="003262F2">
        <w:rPr>
          <w:rFonts w:ascii="Times New Roman" w:eastAsia="Times New Roman" w:hAnsi="Times New Roman" w:cs="Times New Roman"/>
          <w:sz w:val="24"/>
          <w:szCs w:val="24"/>
          <w:lang w:eastAsia="ar-SA"/>
        </w:rPr>
        <w:t>timo įstatymą Nr. XIII-2829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, 2020 m. lapkričio 10 d. – Lietuvos Respublikos vietos savivaldos įstatymo Nr. I-533 4, 7, 12, 13, 14, 15, 16, 19, 20, 24, 26, 27, 29, 32, 32¹, 33, 35¹, 53, devintojo skirsnio pakeitimo ir įstatymo papildymo 15¹ st</w:t>
      </w:r>
      <w:r w:rsidR="004053E0">
        <w:rPr>
          <w:rFonts w:ascii="Times New Roman" w:eastAsia="Times New Roman" w:hAnsi="Times New Roman" w:cs="Times New Roman"/>
          <w:sz w:val="24"/>
          <w:szCs w:val="24"/>
          <w:lang w:eastAsia="ar-SA"/>
        </w:rPr>
        <w:t>raipsniu įstatymą Nr. XIII-3380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660715F" w14:textId="32630BAE" w:rsidR="00A6119D" w:rsidRPr="007C6784" w:rsidRDefault="004053E0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rajono savivaldybės taryba 2020 m. gruodžio 23 d. priėmė veiklos Reglamento dalinio pakeitimo sprendimą, kuriuo pakeisti šie punktai, </w:t>
      </w:r>
      <w:r w:rsidR="00BD2302">
        <w:rPr>
          <w:rFonts w:ascii="Times New Roman" w:eastAsia="Times New Roman" w:hAnsi="Times New Roman" w:cs="Times New Roman"/>
          <w:sz w:val="24"/>
          <w:szCs w:val="24"/>
          <w:lang w:eastAsia="ar-SA"/>
        </w:rPr>
        <w:t>susieję su</w:t>
      </w:r>
      <w:r w:rsidR="00833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Antikorupcijos komisijos veikl</w:t>
      </w:r>
      <w:r w:rsidR="00BD2302">
        <w:rPr>
          <w:rFonts w:ascii="Times New Roman" w:eastAsia="Times New Roman" w:hAnsi="Times New Roman" w:cs="Times New Roman"/>
          <w:sz w:val="24"/>
          <w:szCs w:val="24"/>
          <w:lang w:eastAsia="ar-SA"/>
        </w:rPr>
        <w:t>os reglamentavimu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5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133, 134, 137,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139.5, 139.6, </w:t>
      </w:r>
      <w:r w:rsidR="00554B20">
        <w:rPr>
          <w:rFonts w:ascii="Times New Roman" w:eastAsia="Times New Roman" w:hAnsi="Times New Roman" w:cs="Times New Roman"/>
          <w:sz w:val="24"/>
          <w:szCs w:val="24"/>
          <w:lang w:eastAsia="ar-SA"/>
        </w:rPr>
        <w:t>142,</w:t>
      </w:r>
      <w:r w:rsidR="00BD2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145, </w:t>
      </w:r>
      <w:r w:rsidR="0055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302">
        <w:rPr>
          <w:rFonts w:ascii="Times New Roman" w:eastAsia="Times New Roman" w:hAnsi="Times New Roman" w:cs="Times New Roman"/>
          <w:sz w:val="24"/>
          <w:szCs w:val="24"/>
          <w:lang w:eastAsia="ar-SA"/>
        </w:rPr>
        <w:t>145</w:t>
      </w:r>
      <w:r w:rsidR="00BD23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1 </w:t>
      </w:r>
      <w:r w:rsidR="00AA6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D2302">
        <w:rPr>
          <w:rFonts w:ascii="Times New Roman" w:eastAsia="Times New Roman" w:hAnsi="Times New Roman" w:cs="Times New Roman"/>
          <w:sz w:val="24"/>
          <w:szCs w:val="24"/>
          <w:lang w:eastAsia="ar-SA"/>
        </w:rPr>
        <w:t>Siekiant Rokiškio rajono savivaldybės tarybos Antikorupcijos komisijos veiklos nuostatų atitikmens pagrindiniams savivaldos veiklą reglamentuojančioms tei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sės aktams, būtina pakeisti Antikorupcijos komisijos nuostatus. Nuostatų pakeitimai pateikti </w:t>
      </w:r>
      <w:r w:rsidR="001D14B7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iškinamojo rašto priede. </w:t>
      </w:r>
    </w:p>
    <w:p w14:paraId="46607160" w14:textId="77777777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Galimos pasekmės, priėmus siūlomą tarybos sprendimo projektą:</w:t>
      </w:r>
    </w:p>
    <w:p w14:paraId="46607161" w14:textId="589ACEA9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teigiamos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Rokiškio rajono savivaldybės tarybos 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Antikorupcijos komisijos 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veiklos 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>nuostatai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>Lietuvos Respublikos v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ietos savivaldos įstatymo 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>ir Rokiškio rajono savivaldybės tarybos veiklos reglamento nuostatas, bus tobulesnis</w:t>
      </w:r>
      <w:r w:rsidR="00AA6E2B">
        <w:rPr>
          <w:rFonts w:ascii="Times New Roman" w:eastAsia="Times New Roman" w:hAnsi="Times New Roman" w:cs="Times New Roman"/>
          <w:sz w:val="24"/>
          <w:szCs w:val="24"/>
          <w:lang w:eastAsia="ar-SA"/>
        </w:rPr>
        <w:t>, labiau tinkantis įgyvendinti k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>orupcijos prevencijos savivaldoje tikslus</w:t>
      </w:r>
      <w:r w:rsidR="00AA6E2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6607162" w14:textId="77777777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neigiamos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nebus.</w:t>
      </w:r>
    </w:p>
    <w:p w14:paraId="46607164" w14:textId="33156602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Kokia sprendimo nauda Rokiškio rajono gyventojams.</w:t>
      </w:r>
      <w:r w:rsidR="00AA6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Tobulesni 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Rokiškio rajono savivaldybės tarybos </w:t>
      </w:r>
      <w:r w:rsidR="00AA2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Antikorupcijos komisijos nuostatai </w:t>
      </w:r>
      <w:r w:rsidR="006E47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sudarys palankesnes sąlygas efektyviau taikyti korupcijos prevencijos priemones, įgyvendinti korupcijos prevencijos uždavinius, skirtus </w:t>
      </w:r>
      <w:r w:rsidR="0083373F">
        <w:rPr>
          <w:rFonts w:ascii="Times New Roman" w:eastAsia="Times New Roman" w:hAnsi="Times New Roman" w:cs="Times New Roman"/>
          <w:sz w:val="24"/>
          <w:szCs w:val="24"/>
          <w:lang w:eastAsia="ar-SA"/>
        </w:rPr>
        <w:t>atgrasinti asmenis daryti korupcinio pobūdžio veikas, labiau skatins skaidrų viešųjų paslaugų tiekimą.</w:t>
      </w:r>
    </w:p>
    <w:p w14:paraId="46607165" w14:textId="77777777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Finansavimo šaltiniai ir lėšų poreikis.</w:t>
      </w:r>
    </w:p>
    <w:p w14:paraId="46607166" w14:textId="77777777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Papildomo finansavimo šaltinių nereikia.</w:t>
      </w:r>
    </w:p>
    <w:p w14:paraId="46607167" w14:textId="77777777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Suderinamumas su Lietuvos Respublikos galiojančiais teisės norminiais aktais.</w:t>
      </w:r>
    </w:p>
    <w:p w14:paraId="46607168" w14:textId="77777777" w:rsidR="00A6119D" w:rsidRPr="007C6784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Projektas neprieštarauja galiojantiems teisės aktams.</w:t>
      </w:r>
    </w:p>
    <w:p w14:paraId="46607169" w14:textId="77777777" w:rsidR="00A6119D" w:rsidRDefault="00A6119D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67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Antikorupcinis vertinimas. </w:t>
      </w:r>
      <w:r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4660716A" w14:textId="77777777" w:rsidR="0083373F" w:rsidRDefault="0083373F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FDB186" w14:textId="77777777" w:rsidR="00BD0868" w:rsidRPr="007C6784" w:rsidRDefault="00BD0868" w:rsidP="003E30DE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60716B" w14:textId="10BE1B63" w:rsidR="00A6119D" w:rsidRPr="007C6784" w:rsidRDefault="007B76D3" w:rsidP="003E3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Komisijos pirmininkas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6119D" w:rsidRPr="007C6784">
        <w:rPr>
          <w:rFonts w:ascii="Times New Roman" w:eastAsia="Times New Roman" w:hAnsi="Times New Roman" w:cs="Times New Roman"/>
          <w:sz w:val="24"/>
          <w:szCs w:val="24"/>
          <w:lang w:eastAsia="ar-SA"/>
        </w:rPr>
        <w:t>Stasys Meliūnas</w:t>
      </w:r>
    </w:p>
    <w:sectPr w:rsidR="00A6119D" w:rsidRPr="007C6784" w:rsidSect="00BD0868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184A" w14:textId="77777777" w:rsidR="00BD0868" w:rsidRDefault="00BD0868" w:rsidP="00BD0868">
      <w:pPr>
        <w:spacing w:after="0" w:line="240" w:lineRule="auto"/>
      </w:pPr>
      <w:r>
        <w:separator/>
      </w:r>
    </w:p>
  </w:endnote>
  <w:endnote w:type="continuationSeparator" w:id="0">
    <w:p w14:paraId="5D183048" w14:textId="77777777" w:rsidR="00BD0868" w:rsidRDefault="00BD0868" w:rsidP="00BD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78C4" w14:textId="77777777" w:rsidR="00BD0868" w:rsidRDefault="00BD0868" w:rsidP="00BD0868">
      <w:pPr>
        <w:spacing w:after="0" w:line="240" w:lineRule="auto"/>
      </w:pPr>
      <w:r>
        <w:separator/>
      </w:r>
    </w:p>
  </w:footnote>
  <w:footnote w:type="continuationSeparator" w:id="0">
    <w:p w14:paraId="14031FBF" w14:textId="77777777" w:rsidR="00BD0868" w:rsidRDefault="00BD0868" w:rsidP="00BD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45326" w14:textId="77777777" w:rsidR="00BD0868" w:rsidRPr="00BD0868" w:rsidRDefault="00BD0868" w:rsidP="00BD0868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D0868">
      <w:rPr>
        <w:rFonts w:ascii="Times New Roman" w:hAnsi="Times New Roman" w:cs="Times New Roman"/>
        <w:sz w:val="24"/>
        <w:szCs w:val="24"/>
      </w:rPr>
      <w:t>Projektas</w:t>
    </w:r>
  </w:p>
  <w:p w14:paraId="492A4027" w14:textId="77777777" w:rsidR="00BD0868" w:rsidRDefault="00BD0868" w:rsidP="00BD0868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EF"/>
    <w:multiLevelType w:val="hybridMultilevel"/>
    <w:tmpl w:val="1B4EE8F6"/>
    <w:lvl w:ilvl="0" w:tplc="7982E59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54"/>
    <w:rsid w:val="00034FD2"/>
    <w:rsid w:val="0005381B"/>
    <w:rsid w:val="001B3554"/>
    <w:rsid w:val="001D14B7"/>
    <w:rsid w:val="002E0F04"/>
    <w:rsid w:val="003262F2"/>
    <w:rsid w:val="00390E52"/>
    <w:rsid w:val="003E30DE"/>
    <w:rsid w:val="003F032D"/>
    <w:rsid w:val="004053E0"/>
    <w:rsid w:val="004215B3"/>
    <w:rsid w:val="004575C5"/>
    <w:rsid w:val="00554B20"/>
    <w:rsid w:val="006E4723"/>
    <w:rsid w:val="007B76D3"/>
    <w:rsid w:val="007C6784"/>
    <w:rsid w:val="007F4EAC"/>
    <w:rsid w:val="00823105"/>
    <w:rsid w:val="0083373F"/>
    <w:rsid w:val="00845AF7"/>
    <w:rsid w:val="008A0D23"/>
    <w:rsid w:val="00936D42"/>
    <w:rsid w:val="00A26E41"/>
    <w:rsid w:val="00A6119D"/>
    <w:rsid w:val="00AA280D"/>
    <w:rsid w:val="00AA6E2B"/>
    <w:rsid w:val="00AF2363"/>
    <w:rsid w:val="00BD0868"/>
    <w:rsid w:val="00BD2302"/>
    <w:rsid w:val="00C234BD"/>
    <w:rsid w:val="00C67E19"/>
    <w:rsid w:val="00D40550"/>
    <w:rsid w:val="00E0337A"/>
    <w:rsid w:val="00EA7D09"/>
    <w:rsid w:val="00EB537F"/>
    <w:rsid w:val="00FB5D30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53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7D0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D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868"/>
  </w:style>
  <w:style w:type="paragraph" w:styleId="Porat">
    <w:name w:val="footer"/>
    <w:basedOn w:val="prastasis"/>
    <w:link w:val="PoratDiagrama"/>
    <w:uiPriority w:val="99"/>
    <w:unhideWhenUsed/>
    <w:rsid w:val="00BD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53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7D0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D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868"/>
  </w:style>
  <w:style w:type="paragraph" w:styleId="Porat">
    <w:name w:val="footer"/>
    <w:basedOn w:val="prastasis"/>
    <w:link w:val="PoratDiagrama"/>
    <w:uiPriority w:val="99"/>
    <w:unhideWhenUsed/>
    <w:rsid w:val="00BD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 Kunigelienė</cp:lastModifiedBy>
  <cp:revision>2</cp:revision>
  <dcterms:created xsi:type="dcterms:W3CDTF">2021-01-19T07:59:00Z</dcterms:created>
  <dcterms:modified xsi:type="dcterms:W3CDTF">2021-01-19T07:59:00Z</dcterms:modified>
</cp:coreProperties>
</file>