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688"/>
        <w:gridCol w:w="4166"/>
      </w:tblGrid>
      <w:tr w:rsidR="008514F5" w14:paraId="6AE19B5E" w14:textId="77777777" w:rsidTr="00B773ED">
        <w:tc>
          <w:tcPr>
            <w:tcW w:w="5688" w:type="dxa"/>
            <w:shd w:val="clear" w:color="auto" w:fill="auto"/>
          </w:tcPr>
          <w:p w14:paraId="6AE19B5A" w14:textId="77777777" w:rsidR="008514F5" w:rsidRPr="00C63D75" w:rsidRDefault="008514F5" w:rsidP="00B773ED">
            <w:pPr>
              <w:rPr>
                <w:rFonts w:ascii="Times New Roman" w:hAnsi="Times New Roman" w:cs="Times New Roman"/>
                <w:sz w:val="24"/>
                <w:szCs w:val="24"/>
                <w:lang w:val="en-US"/>
              </w:rPr>
            </w:pPr>
            <w:bookmarkStart w:id="0" w:name="_GoBack"/>
            <w:bookmarkEnd w:id="0"/>
          </w:p>
        </w:tc>
        <w:tc>
          <w:tcPr>
            <w:tcW w:w="4166" w:type="dxa"/>
            <w:shd w:val="clear" w:color="auto" w:fill="auto"/>
          </w:tcPr>
          <w:p w14:paraId="6AE19B5B" w14:textId="77777777" w:rsidR="008514F5" w:rsidRPr="00D046A7" w:rsidRDefault="008514F5" w:rsidP="00B773ED">
            <w:pPr>
              <w:rPr>
                <w:rFonts w:ascii="Times New Roman" w:hAnsi="Times New Roman" w:cs="Times New Roman"/>
                <w:sz w:val="20"/>
                <w:szCs w:val="20"/>
              </w:rPr>
            </w:pPr>
            <w:r w:rsidRPr="00D046A7">
              <w:rPr>
                <w:rFonts w:ascii="Times New Roman" w:hAnsi="Times New Roman" w:cs="Times New Roman"/>
                <w:sz w:val="20"/>
                <w:szCs w:val="20"/>
              </w:rPr>
              <w:t>PATVIRTINTA</w:t>
            </w:r>
          </w:p>
          <w:p w14:paraId="6AE19B5C" w14:textId="77777777" w:rsidR="008514F5" w:rsidRPr="00D046A7" w:rsidRDefault="008514F5" w:rsidP="00B773ED">
            <w:pPr>
              <w:rPr>
                <w:rFonts w:ascii="Times New Roman" w:hAnsi="Times New Roman" w:cs="Times New Roman"/>
                <w:sz w:val="20"/>
                <w:szCs w:val="20"/>
              </w:rPr>
            </w:pPr>
            <w:r w:rsidRPr="00D046A7">
              <w:rPr>
                <w:rFonts w:ascii="Times New Roman" w:hAnsi="Times New Roman" w:cs="Times New Roman"/>
                <w:sz w:val="20"/>
                <w:szCs w:val="20"/>
              </w:rPr>
              <w:t>Rokiškio rajono savivaldybės tarybos</w:t>
            </w:r>
          </w:p>
          <w:p w14:paraId="6AE19B5D" w14:textId="77777777" w:rsidR="008514F5" w:rsidRPr="00D046A7" w:rsidRDefault="008514F5" w:rsidP="00B773ED">
            <w:pPr>
              <w:rPr>
                <w:rFonts w:ascii="Times New Roman" w:hAnsi="Times New Roman" w:cs="Times New Roman"/>
                <w:sz w:val="24"/>
                <w:szCs w:val="24"/>
              </w:rPr>
            </w:pPr>
            <w:r w:rsidRPr="00D046A7">
              <w:rPr>
                <w:rFonts w:ascii="Times New Roman" w:hAnsi="Times New Roman" w:cs="Times New Roman"/>
                <w:sz w:val="20"/>
                <w:szCs w:val="20"/>
              </w:rPr>
              <w:t>2018 m. gegužės 25 d. sprendimu Nr.</w:t>
            </w:r>
            <w:r>
              <w:rPr>
                <w:rFonts w:ascii="Times New Roman" w:hAnsi="Times New Roman" w:cs="Times New Roman"/>
                <w:sz w:val="20"/>
                <w:szCs w:val="20"/>
              </w:rPr>
              <w:t xml:space="preserve"> </w:t>
            </w:r>
            <w:r w:rsidRPr="00D046A7">
              <w:rPr>
                <w:rFonts w:ascii="Times New Roman" w:hAnsi="Times New Roman" w:cs="Times New Roman"/>
                <w:sz w:val="20"/>
                <w:szCs w:val="20"/>
              </w:rPr>
              <w:t>TS-</w:t>
            </w:r>
          </w:p>
        </w:tc>
      </w:tr>
    </w:tbl>
    <w:p w14:paraId="6AE19B5F" w14:textId="77777777" w:rsidR="008514F5" w:rsidRDefault="008514F5" w:rsidP="008514F5">
      <w:pPr>
        <w:rPr>
          <w:rFonts w:ascii="Times New Roman" w:hAnsi="Times New Roman" w:cs="Times New Roman"/>
          <w:sz w:val="24"/>
          <w:szCs w:val="24"/>
        </w:rPr>
      </w:pPr>
      <w:r>
        <w:rPr>
          <w:rFonts w:ascii="Times New Roman" w:hAnsi="Times New Roman" w:cs="Times New Roman"/>
          <w:sz w:val="24"/>
          <w:szCs w:val="24"/>
        </w:rPr>
        <w:t> </w:t>
      </w:r>
    </w:p>
    <w:p w14:paraId="6AE19B60" w14:textId="77777777" w:rsidR="008514F5" w:rsidRDefault="008514F5" w:rsidP="008514F5">
      <w:pPr>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gaisrinių gelbėjimo automobilių parko IR GAISRINĖS GELBĖJIMO ĮRANGOS atnaujinimo savivaldybĖS  priešgaisrinėJE tarnyboJE </w:t>
      </w:r>
    </w:p>
    <w:p w14:paraId="6AE19B61" w14:textId="77777777" w:rsidR="008514F5" w:rsidRDefault="008514F5" w:rsidP="008514F5">
      <w:pPr>
        <w:jc w:val="center"/>
        <w:rPr>
          <w:rFonts w:ascii="Times New Roman" w:hAnsi="Times New Roman" w:cs="Times New Roman"/>
          <w:b/>
          <w:bCs/>
          <w:caps/>
          <w:sz w:val="24"/>
          <w:szCs w:val="24"/>
        </w:rPr>
      </w:pPr>
      <w:r>
        <w:rPr>
          <w:rFonts w:ascii="Times New Roman" w:hAnsi="Times New Roman" w:cs="Times New Roman"/>
          <w:b/>
          <w:bCs/>
          <w:caps/>
          <w:sz w:val="24"/>
          <w:szCs w:val="24"/>
        </w:rPr>
        <w:t>2018-2023 Metų programa</w:t>
      </w:r>
    </w:p>
    <w:p w14:paraId="6AE19B62" w14:textId="77777777" w:rsidR="008514F5" w:rsidRDefault="008514F5" w:rsidP="008514F5">
      <w:pPr>
        <w:rPr>
          <w:rFonts w:ascii="Times New Roman" w:hAnsi="Times New Roman" w:cs="Times New Roman"/>
          <w:sz w:val="24"/>
          <w:szCs w:val="24"/>
        </w:rPr>
      </w:pPr>
      <w:r>
        <w:rPr>
          <w:rFonts w:ascii="Times New Roman" w:hAnsi="Times New Roman" w:cs="Times New Roman"/>
          <w:sz w:val="24"/>
          <w:szCs w:val="24"/>
        </w:rPr>
        <w:t> </w:t>
      </w:r>
    </w:p>
    <w:p w14:paraId="6AE19B63" w14:textId="77777777" w:rsidR="008514F5" w:rsidRDefault="008514F5" w:rsidP="008514F5">
      <w:pPr>
        <w:jc w:val="center"/>
        <w:rPr>
          <w:rFonts w:ascii="Times New Roman" w:hAnsi="Times New Roman" w:cs="Times New Roman"/>
          <w:b/>
          <w:bCs/>
          <w:sz w:val="24"/>
          <w:szCs w:val="24"/>
        </w:rPr>
      </w:pPr>
      <w:r>
        <w:rPr>
          <w:rFonts w:ascii="Times New Roman" w:hAnsi="Times New Roman" w:cs="Times New Roman"/>
          <w:b/>
          <w:bCs/>
          <w:sz w:val="24"/>
          <w:szCs w:val="24"/>
        </w:rPr>
        <w:t>I. BENDROSIOS NUOSTATOS</w:t>
      </w:r>
    </w:p>
    <w:p w14:paraId="6AE19B64" w14:textId="77777777" w:rsidR="008514F5" w:rsidRDefault="008514F5" w:rsidP="008514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14:paraId="6AE19B65"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 Gaisrinių gelbėjimo automobilių parko ir gaisrinės gelbėjimo įrangos atnaujinimo Rokiškio rajono savivaldybės priešgaisrinėje tarnybos programos (toliau vadinama – ši Programa) paskirtis – gerinti savivaldybės priešgaisrinės tarnybos aprūpinimą techninėmis priemonėmis, kurios užtikrintų efektyvesnį gaisrų gesinimą ir gelbėjimą, leistų geriau apsaugoti žmones nuo žūties ir traumų kilus gaisrui ir ištikus kitam ekstremaliam įvykiui, prarasti mažiau turto ir gamtos išteklių.</w:t>
      </w:r>
    </w:p>
    <w:p w14:paraId="6AE19B66" w14:textId="77777777" w:rsidR="008514F5" w:rsidRDefault="008514F5" w:rsidP="008514F5">
      <w:pPr>
        <w:ind w:firstLine="900"/>
        <w:rPr>
          <w:rFonts w:ascii="Times New Roman" w:hAnsi="Times New Roman" w:cs="Times New Roman"/>
          <w:sz w:val="24"/>
          <w:szCs w:val="24"/>
        </w:rPr>
      </w:pPr>
    </w:p>
    <w:p w14:paraId="6AE19B67" w14:textId="77777777" w:rsidR="008514F5" w:rsidRDefault="008514F5" w:rsidP="008514F5">
      <w:pPr>
        <w:jc w:val="center"/>
        <w:rPr>
          <w:rFonts w:ascii="Times New Roman" w:hAnsi="Times New Roman" w:cs="Times New Roman"/>
          <w:b/>
          <w:bCs/>
          <w:sz w:val="24"/>
          <w:szCs w:val="24"/>
        </w:rPr>
      </w:pPr>
      <w:r>
        <w:rPr>
          <w:rFonts w:ascii="Times New Roman" w:hAnsi="Times New Roman" w:cs="Times New Roman"/>
          <w:b/>
          <w:bCs/>
          <w:sz w:val="24"/>
          <w:szCs w:val="24"/>
        </w:rPr>
        <w:t>II. ESAMOS BŪKLĖS ANALIZĖ</w:t>
      </w:r>
    </w:p>
    <w:p w14:paraId="6AE19B68" w14:textId="77777777" w:rsidR="008514F5" w:rsidRDefault="008514F5" w:rsidP="008514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14:paraId="6AE19B69"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2. Šiuo metu savivaldybės priešgaisrinė tarnyba – pagrindinė valstybinės priešgaisrinės gelbėjimo tarnybos talkininkė, organizuojanti kaimo gyvenamosiose vietovėse kilusių gaisrų , kurių sparčiai gausėja, gesinimą, juos gesinanti bei atliekanti įvairius gelbėjimo darbus.</w:t>
      </w:r>
    </w:p>
    <w:p w14:paraId="6AE19B6A"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3. Lietuvoje per gaisrus gyventojų žūva 7 kartus daugiau negu Europos Sąjungos valstybėse – Lietuvoje 100 tūkst. gyventojų tenka 8,4 žuvusiojo (Vokietijoje – 0,7, Italijoje – 0,8, Olandijoje – 0,5, Didžiojoje Britanijoje – 1,1, Prancūzijoje – 1,1, Ispanijoje – 0,6, Austrijoje – 0,8).</w:t>
      </w:r>
    </w:p>
    <w:p w14:paraId="6AE19B6B"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4. Augant ekonomikai, plečiantis įvairiai veiklai, galima prognozuoti, kad gaisrų gesinimo ir gelbėjimo darbų daugės. Nuo to, kokiomis techninėmis priemonėmis aprūpinta savivaldybės priešgaisrinė tarnyba, priklauso ir jos darbo sėkmė – kiek išgelbėta žmonių gyvybių, išsaugota turto, gamtos išteklių.</w:t>
      </w:r>
    </w:p>
    <w:p w14:paraId="6AE19B6C"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5. 2017 m. savivaldybės priešgaisrinės tarnybos gaisrinių automobilių parką sudarė 17 transporto priemonių, iš jų – 15 gaisrinės automobilinės cisternos, 1 specialiosios paskirties krovininis automobilis, skirtas naftos produktų išsiliejimo padarinių likvidavimui ir gelbėjimo darbams vandenyje ir 1 lengvasis krovininis padidinto pravažumo automobilis, skirtas 9 ugniagesių komandų aprūpinimui.</w:t>
      </w:r>
    </w:p>
    <w:p w14:paraId="6AE19B6D"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 xml:space="preserve">6. Savivaldybės priešgaisrinėje tarnyboje gaisrinių gelbėjimo automobilių parko sudėtinė struktūra yra kritinės būklės. Automobiliai sensta ypač greitai, jų patikimumas mažėja. Iš turimų pagrindinių ir specialiųjų gaisrinių gelbėjimo automobilių net 16 automobilių pagaminti buvusioje Sovietų Sąjungoje.  Savivaldybės priešgaisrinės tarnybos gaisrinių gelbėjimo automobilių pagaminimo metų vidurkis – 32 metai (t.y. didesnis už amortizacijos normatyvą), kai gamintojai rekomenduoja eksploatuoti ne ilgiau kaip 10 metų. Visų gaisrinių automobilių varikliai varomi  benzinu, kurio sąnaudos 100 km nuvažiuoti siekia 34-70 litrų.  Kadangi apie 50 procentų visų gaisrų užgesinama vienu gaisriniu švirkštu, daug ekonomiškiau naudoti lengvos klasės gaisrinius automobilius (bendroji masė – 2–7,5 tonos) varomus </w:t>
      </w:r>
      <w:proofErr w:type="spellStart"/>
      <w:r>
        <w:rPr>
          <w:rFonts w:ascii="Times New Roman" w:hAnsi="Times New Roman" w:cs="Times New Roman"/>
          <w:sz w:val="24"/>
          <w:szCs w:val="24"/>
        </w:rPr>
        <w:t>dyzelinu</w:t>
      </w:r>
      <w:proofErr w:type="spellEnd"/>
      <w:r>
        <w:rPr>
          <w:rFonts w:ascii="Times New Roman" w:hAnsi="Times New Roman" w:cs="Times New Roman"/>
          <w:sz w:val="24"/>
          <w:szCs w:val="24"/>
        </w:rPr>
        <w:t>, turinčius specialius aukšto slėgio siurblius.</w:t>
      </w:r>
    </w:p>
    <w:p w14:paraId="6AE19B6E"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 xml:space="preserve">7. Labai svarbu, kad gaisriniai gelbėjimo automobiliai ir kitos specialiosios paskirties transporto priemonės veiktų patikimai ir būtų saugios. Taigi visiškai susidėvėjusias transporto priemones būtina keisti naujomis arba, kiek įmanoma, atnaujinti europietiška, mažai naudota ir daug ekonomiškesne bei technologiškai daug pažangesne technika. </w:t>
      </w:r>
    </w:p>
    <w:p w14:paraId="6AE19B6F"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 xml:space="preserve">8. 2006 m. rugpjūčio 4 d. nutarimu Nr. 784 Lietuvos Respublikos Vyriausybė patvirtino Gaisrinių gelbėjimo automobilių parko atnaujinimo valstybinėje priešgaisrinėje gelbėjimo tarnyboje ir savivaldybių priešgaisrinėse tarnybose programą. Įgyvendinus šią programą, per 2007 – 2011 m. valstybinėje priešgaisrinėje gelbėjimo tarnyboje už daugiau kaip 81 mln. Lt buvo atnaujinta 21 </w:t>
      </w:r>
      <w:r>
        <w:rPr>
          <w:rFonts w:ascii="Times New Roman" w:hAnsi="Times New Roman" w:cs="Times New Roman"/>
          <w:sz w:val="24"/>
          <w:szCs w:val="24"/>
        </w:rPr>
        <w:lastRenderedPageBreak/>
        <w:t xml:space="preserve">proc. gaisrinių gelbėjimo automobilių parko ir pakeista iki 17 procentų perduodant savivaldybių priešgaisrinėms tarnyboms dalį valstybinės priešgaisrinės gelbėjimo tarnybos gaisrinių automobilių, nebetinkamų gaisrams gesinti ir gelbėjimo darbams atlikti miestuose, bet tinkamų naudoti kaimo gyvenamosiose vietovėse. </w:t>
      </w:r>
    </w:p>
    <w:p w14:paraId="6AE19B70"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9. Programos galiojimo metu Rokiškio rajono savivaldybės priešgaisrinei tarnybai buvo pasiūlyta perimti visiškai susidėvėjusi gaisrinė autocisterna ZIL 130. Pasiūlymo buvo atsisakyta dėl blogo šio tipo automobilių pravažumo kaimo vietovėse ir didelio lėšų poreikio eksploatacijai atstatyti.</w:t>
      </w:r>
    </w:p>
    <w:p w14:paraId="6AE19B71"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10. Efektyvų gaisrų gesinimą ir gelbėjimą, geresnę žmonių apsaugą nuo žūties ir traumų kilus gaisrui ir ištikus kitam ekstremaliam įvykiui, mažesnius turto ir gamtos išteklių praradimus didele dalimi užtikrina pačių ugniagesių gelbėtojų aprūpinimas asmens apsaugos priemonėmis. Viena pagrindinių priemonių – suslėgto oro kvėpavimo takų ir veido apsaugos priemonė. Šios rūšies apsaugos priemones Rokiškio rajono savivaldybės priešgaisrinė tarnyba turi tik Obelių ir Pandėlio ugniagesių komandose. Todėl kyla sunkumų kitų ugniagesių komandų ugniagesiams gelbėtojams, pirmiesiems atvykus į incidento vietas (kaimo teritorijose beveik visada atvyksta pirmi), patekti į uždūmintas patalpas ir, nerizikuojant savo gyvybe ir sveikata, vykdyti žmonių ir turto gelbėjimo darbus.</w:t>
      </w:r>
    </w:p>
    <w:p w14:paraId="6AE19B72"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11. Šiuo metu galioja ydingi teisės aktai, kai savivaldybių priešgaisrinėms tarnyboms valstybės deleguotos lėšos skiriamos tik eksploatacinėms išlaidoms, o pagrindinėms priemonėms ir turtui įsigyti visiškai neskiriama. Esant tokiai sudėtingai situacijai be savivaldybės biudžeto lėšų pažanga šioje srityje neįmanoma.</w:t>
      </w:r>
    </w:p>
    <w:p w14:paraId="6AE19B73" w14:textId="77777777" w:rsidR="008514F5" w:rsidRDefault="008514F5" w:rsidP="008514F5">
      <w:pPr>
        <w:rPr>
          <w:rFonts w:ascii="Times New Roman" w:hAnsi="Times New Roman" w:cs="Times New Roman"/>
          <w:sz w:val="24"/>
          <w:szCs w:val="24"/>
        </w:rPr>
      </w:pPr>
    </w:p>
    <w:p w14:paraId="6AE19B74" w14:textId="77777777" w:rsidR="008514F5" w:rsidRDefault="008514F5" w:rsidP="008514F5">
      <w:pPr>
        <w:jc w:val="center"/>
        <w:rPr>
          <w:rFonts w:ascii="Times New Roman" w:hAnsi="Times New Roman" w:cs="Times New Roman"/>
          <w:b/>
          <w:bCs/>
          <w:sz w:val="24"/>
          <w:szCs w:val="24"/>
        </w:rPr>
      </w:pPr>
      <w:r>
        <w:rPr>
          <w:rFonts w:ascii="Times New Roman" w:hAnsi="Times New Roman" w:cs="Times New Roman"/>
          <w:b/>
          <w:bCs/>
          <w:sz w:val="24"/>
          <w:szCs w:val="24"/>
        </w:rPr>
        <w:t>III. PROGRAMOS TIKSLAS IR UŽDAVINIAI</w:t>
      </w:r>
    </w:p>
    <w:p w14:paraId="6AE19B75" w14:textId="77777777" w:rsidR="008514F5" w:rsidRDefault="008514F5" w:rsidP="008514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14:paraId="6AE19B76"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12. Šios Programos tikslas – kuo taupiau naudojant biudžeto lėšas pagerinti savivaldybės priešgaisrinės tarnybos gaisrinių automobilių parko būklę ir aprūpinti ugniagesius gelbėtojus šiuolaikinėmis apsaugos priemonėmis, taip užtikrinant deramą gyventojų ir turto gelbėjimą, pirminių gelbėjimo darbų atlikimą avarijų, katastrofų, stichinių nelaimių atvejais, gaisrų gesinimą.</w:t>
      </w:r>
    </w:p>
    <w:p w14:paraId="6AE19B77"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13. Siekiant įgyvendinti šios Programos tikslą, nustatomi tokie uždaviniai:</w:t>
      </w:r>
    </w:p>
    <w:p w14:paraId="6AE19B78"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13.1. įsigyti gaisrinių automobilinių cisternų, kurios pakeistų susidėvėjusias cisternas;</w:t>
      </w:r>
    </w:p>
    <w:p w14:paraId="6AE19B79"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13.2. mažinti gaisrinių gelbėjimo automobilių, neatitinkančių Europos Sąjungos teisės aktų nustatytų techninių reikalavimų, skaičių;</w:t>
      </w:r>
    </w:p>
    <w:p w14:paraId="6AE19B7A"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13.3. aprūpinti visus tarnybos ugniagesius gelbėtojus asmeninėmis suslėgto oro kvėpavimo takų ir veido apsaugos priemonėmis.</w:t>
      </w:r>
    </w:p>
    <w:p w14:paraId="6AE19B7B" w14:textId="77777777" w:rsidR="008514F5" w:rsidRDefault="008514F5" w:rsidP="008514F5">
      <w:pPr>
        <w:rPr>
          <w:rFonts w:ascii="Times New Roman" w:hAnsi="Times New Roman" w:cs="Times New Roman"/>
          <w:sz w:val="24"/>
          <w:szCs w:val="24"/>
        </w:rPr>
      </w:pPr>
      <w:r>
        <w:rPr>
          <w:rFonts w:ascii="Times New Roman" w:hAnsi="Times New Roman" w:cs="Times New Roman"/>
          <w:sz w:val="24"/>
          <w:szCs w:val="24"/>
        </w:rPr>
        <w:t> </w:t>
      </w:r>
    </w:p>
    <w:p w14:paraId="6AE19B7C" w14:textId="77777777" w:rsidR="008514F5" w:rsidRDefault="008514F5" w:rsidP="008514F5">
      <w:pPr>
        <w:jc w:val="center"/>
        <w:rPr>
          <w:rFonts w:ascii="Times New Roman" w:hAnsi="Times New Roman" w:cs="Times New Roman"/>
          <w:b/>
          <w:bCs/>
          <w:sz w:val="24"/>
          <w:szCs w:val="24"/>
        </w:rPr>
      </w:pPr>
      <w:r>
        <w:rPr>
          <w:rFonts w:ascii="Times New Roman" w:hAnsi="Times New Roman" w:cs="Times New Roman"/>
          <w:b/>
          <w:bCs/>
          <w:sz w:val="24"/>
          <w:szCs w:val="24"/>
        </w:rPr>
        <w:t>IV. PROGRAMOS UŽDAVINIŲ VERTINIMO KRITERIJAI</w:t>
      </w:r>
    </w:p>
    <w:p w14:paraId="6AE19B7D" w14:textId="77777777" w:rsidR="008514F5" w:rsidRDefault="008514F5" w:rsidP="008514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14:paraId="6AE19B7E"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14. Šios Programos įgyvendinimas vertinamas periodiškai po kiekvienų jos įgyvendinimo metų ir galutinai – ją baigus vykdyti.</w:t>
      </w:r>
    </w:p>
    <w:p w14:paraId="6AE19B7F"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15. Nustatomi tokie šios Programos uždavinių įgyvendinimo vertinimo kriterijai:</w:t>
      </w:r>
    </w:p>
    <w:p w14:paraId="6AE19B80"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15.1.savivaldybės priešgaisrinės tarnybos gaisrinių gelbėjimo automobilių parko struktūros pokytis pagal gaisrinių gelbėjimo automobilių naudojimo trukmės  rodiklius (procentais);</w:t>
      </w:r>
    </w:p>
    <w:p w14:paraId="6AE19B81"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15.2. savivaldybės priešgaisrinės tarnybos įsigytų gaisrinių gelbėjimo automobilių skaičius;</w:t>
      </w:r>
    </w:p>
    <w:p w14:paraId="6AE19B82"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15.3. savivaldybės priešgaisrinės tarnybos įsigytų asmeninių suslėgto oro kvėpavimo takų ir veido apsaugos priemonių skaičius.</w:t>
      </w:r>
    </w:p>
    <w:p w14:paraId="6AE19B83" w14:textId="77777777" w:rsidR="008514F5" w:rsidRDefault="008514F5" w:rsidP="008514F5">
      <w:pPr>
        <w:rPr>
          <w:rFonts w:ascii="Times New Roman" w:hAnsi="Times New Roman" w:cs="Times New Roman"/>
          <w:sz w:val="24"/>
          <w:szCs w:val="24"/>
        </w:rPr>
      </w:pPr>
    </w:p>
    <w:p w14:paraId="6AE19B84" w14:textId="77777777" w:rsidR="008514F5" w:rsidRDefault="008514F5" w:rsidP="008514F5">
      <w:pPr>
        <w:jc w:val="center"/>
        <w:rPr>
          <w:rFonts w:ascii="Times New Roman" w:hAnsi="Times New Roman" w:cs="Times New Roman"/>
          <w:b/>
          <w:bCs/>
          <w:sz w:val="24"/>
          <w:szCs w:val="24"/>
        </w:rPr>
      </w:pPr>
      <w:r>
        <w:rPr>
          <w:rFonts w:ascii="Times New Roman" w:hAnsi="Times New Roman" w:cs="Times New Roman"/>
          <w:b/>
          <w:bCs/>
          <w:sz w:val="24"/>
          <w:szCs w:val="24"/>
        </w:rPr>
        <w:t>V. PROGRAMOS FINANSAVIMAS</w:t>
      </w:r>
    </w:p>
    <w:p w14:paraId="6AE19B85" w14:textId="77777777" w:rsidR="008514F5" w:rsidRDefault="008514F5" w:rsidP="008514F5">
      <w:pPr>
        <w:jc w:val="center"/>
        <w:rPr>
          <w:rFonts w:ascii="Times New Roman" w:hAnsi="Times New Roman" w:cs="Times New Roman"/>
          <w:b/>
          <w:bCs/>
          <w:sz w:val="24"/>
          <w:szCs w:val="24"/>
        </w:rPr>
      </w:pPr>
    </w:p>
    <w:p w14:paraId="6AE19B86"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 xml:space="preserve">16. Lėšos šiai Programai įgyvendinti numatomos rengiant atitinkamų metų savivaldybės biudžeto finansinių rodiklių patvirtinimo projektą. Šiai Programai įgyvendinti gali būti naudojamos </w:t>
      </w:r>
      <w:r>
        <w:rPr>
          <w:rFonts w:ascii="Times New Roman" w:hAnsi="Times New Roman" w:cs="Times New Roman"/>
          <w:sz w:val="24"/>
          <w:szCs w:val="24"/>
        </w:rPr>
        <w:lastRenderedPageBreak/>
        <w:t>ir kitos įstatymų nustatyta tvarka gautos lėšos, esant galimybėms – Europos sąjungos atitinkamų projektų finansavimo lėšos.</w:t>
      </w:r>
    </w:p>
    <w:p w14:paraId="6AE19B87"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17. Preliminarus lėšų poreikis šiai Programai įgyvendinti numatytas priede.</w:t>
      </w:r>
    </w:p>
    <w:p w14:paraId="6AE19B88" w14:textId="77777777" w:rsidR="008514F5" w:rsidRDefault="008514F5" w:rsidP="008514F5">
      <w:pPr>
        <w:rPr>
          <w:rFonts w:ascii="Times New Roman" w:hAnsi="Times New Roman" w:cs="Times New Roman"/>
          <w:sz w:val="24"/>
          <w:szCs w:val="24"/>
        </w:rPr>
      </w:pPr>
      <w:r>
        <w:rPr>
          <w:rFonts w:ascii="Times New Roman" w:hAnsi="Times New Roman" w:cs="Times New Roman"/>
          <w:sz w:val="24"/>
          <w:szCs w:val="24"/>
        </w:rPr>
        <w:t> </w:t>
      </w:r>
    </w:p>
    <w:p w14:paraId="6AE19B89" w14:textId="77777777" w:rsidR="008514F5" w:rsidRDefault="008514F5" w:rsidP="008514F5">
      <w:pPr>
        <w:jc w:val="center"/>
        <w:rPr>
          <w:rFonts w:ascii="Times New Roman" w:hAnsi="Times New Roman" w:cs="Times New Roman"/>
          <w:b/>
          <w:bCs/>
          <w:sz w:val="24"/>
          <w:szCs w:val="24"/>
        </w:rPr>
      </w:pPr>
      <w:r>
        <w:rPr>
          <w:rFonts w:ascii="Times New Roman" w:hAnsi="Times New Roman" w:cs="Times New Roman"/>
          <w:b/>
          <w:bCs/>
          <w:sz w:val="24"/>
          <w:szCs w:val="24"/>
        </w:rPr>
        <w:t>VI. PROGRAMOS ĮGYVENDINIMAS IR NUMATOMI REZULTATAI</w:t>
      </w:r>
    </w:p>
    <w:p w14:paraId="6AE19B8A" w14:textId="77777777" w:rsidR="008514F5" w:rsidRDefault="008514F5" w:rsidP="008514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14:paraId="6AE19B8B"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18. Ši Programa įgyvendinama pagal priede numatytas jos įgyvendinimo priemones.</w:t>
      </w:r>
    </w:p>
    <w:p w14:paraId="6AE19B8C"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19. Šios Programos įgyvendinimą koordinuoja Rokiškio rajono savivaldybės Priešgaisrinės tarnybos veiklą  kuruojantis asmuo (savivaldybės administracijos skyrius).</w:t>
      </w:r>
    </w:p>
    <w:p w14:paraId="6AE19B8D"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20. Įgyvendinus šią Programą, numatoma:</w:t>
      </w:r>
    </w:p>
    <w:p w14:paraId="6AE19B8E"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color w:val="000000"/>
          <w:sz w:val="24"/>
          <w:szCs w:val="24"/>
        </w:rPr>
        <w:t>20.1. atnaujinti lengvųjų automobilinių cisternų parką 31 procentu</w:t>
      </w:r>
      <w:r>
        <w:rPr>
          <w:rFonts w:ascii="Times New Roman" w:hAnsi="Times New Roman" w:cs="Times New Roman"/>
          <w:sz w:val="24"/>
          <w:szCs w:val="24"/>
        </w:rPr>
        <w:t>;</w:t>
      </w:r>
    </w:p>
    <w:p w14:paraId="6AE19B8F"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20.2. sumažinti gaisrinių automobilinių cisternų, naudojamų viršijant 10 metų eksploatavimo trukmę;</w:t>
      </w:r>
    </w:p>
    <w:p w14:paraId="6AE19B90"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 xml:space="preserve">20.3. aprūpinti 70 procentų ugniagesių gelbėtoju asmeninėmis apsaugos priemonėmis. </w:t>
      </w:r>
    </w:p>
    <w:p w14:paraId="6AE19B91" w14:textId="77777777" w:rsidR="008514F5" w:rsidRDefault="008514F5" w:rsidP="008514F5">
      <w:pPr>
        <w:ind w:firstLine="900"/>
        <w:jc w:val="both"/>
        <w:rPr>
          <w:rFonts w:ascii="Times New Roman" w:hAnsi="Times New Roman" w:cs="Times New Roman"/>
          <w:sz w:val="24"/>
          <w:szCs w:val="24"/>
        </w:rPr>
      </w:pPr>
      <w:r>
        <w:rPr>
          <w:rFonts w:ascii="Times New Roman" w:hAnsi="Times New Roman" w:cs="Times New Roman"/>
          <w:sz w:val="24"/>
          <w:szCs w:val="24"/>
        </w:rPr>
        <w:t>21. Įgyvendinus šią Programą, būtų atnaujinta iki 31 procento priešgaisrinės tarnybos gaisrinių gelbėjimo automobilių parko, dėl ko sumažėtų remonto ir eksploatavimo išlaidos, taptų saugesnis nuvykimas iki incidento vietos ir sutrumpėtų jo laikas.</w:t>
      </w:r>
    </w:p>
    <w:p w14:paraId="6AE19B92" w14:textId="77777777" w:rsidR="008514F5" w:rsidRDefault="008514F5" w:rsidP="008514F5">
      <w:pPr>
        <w:jc w:val="both"/>
        <w:rPr>
          <w:rFonts w:ascii="Times New Roman" w:hAnsi="Times New Roman" w:cs="Times New Roman"/>
          <w:sz w:val="24"/>
          <w:szCs w:val="24"/>
        </w:rPr>
      </w:pPr>
      <w:r>
        <w:rPr>
          <w:rFonts w:ascii="Times New Roman" w:hAnsi="Times New Roman" w:cs="Times New Roman"/>
          <w:sz w:val="24"/>
          <w:szCs w:val="24"/>
        </w:rPr>
        <w:t> </w:t>
      </w:r>
    </w:p>
    <w:p w14:paraId="6AE19B93" w14:textId="77777777" w:rsidR="008514F5" w:rsidRDefault="008514F5" w:rsidP="008514F5">
      <w:pPr>
        <w:jc w:val="center"/>
        <w:rPr>
          <w:rFonts w:ascii="Times New Roman" w:hAnsi="Times New Roman" w:cs="Times New Roman"/>
          <w:sz w:val="24"/>
          <w:szCs w:val="24"/>
        </w:rPr>
      </w:pPr>
      <w:r>
        <w:rPr>
          <w:rFonts w:ascii="Times New Roman" w:hAnsi="Times New Roman" w:cs="Times New Roman"/>
          <w:sz w:val="24"/>
          <w:szCs w:val="24"/>
        </w:rPr>
        <w:t>––––––––––––––––</w:t>
      </w:r>
    </w:p>
    <w:p w14:paraId="6AE19B94" w14:textId="77777777" w:rsidR="008514F5" w:rsidRDefault="008514F5" w:rsidP="008514F5">
      <w:pPr>
        <w:rPr>
          <w:rFonts w:ascii="Times New Roman" w:hAnsi="Times New Roman" w:cs="Times New Roman"/>
          <w:sz w:val="24"/>
          <w:szCs w:val="24"/>
        </w:rPr>
      </w:pPr>
      <w:r>
        <w:rPr>
          <w:rFonts w:ascii="Times New Roman" w:hAnsi="Times New Roman" w:cs="Times New Roman"/>
          <w:sz w:val="24"/>
          <w:szCs w:val="24"/>
        </w:rPr>
        <w:t> </w:t>
      </w:r>
    </w:p>
    <w:p w14:paraId="6AE19B95" w14:textId="77777777" w:rsidR="008514F5" w:rsidRDefault="008514F5" w:rsidP="008514F5">
      <w:pPr>
        <w:rPr>
          <w:rFonts w:ascii="Times New Roman" w:hAnsi="Times New Roman" w:cs="Times New Roman"/>
          <w:sz w:val="24"/>
          <w:szCs w:val="24"/>
        </w:rPr>
      </w:pPr>
    </w:p>
    <w:p w14:paraId="6AE19B96" w14:textId="77777777" w:rsidR="008514F5" w:rsidRDefault="008514F5" w:rsidP="008514F5">
      <w:pPr>
        <w:rPr>
          <w:rFonts w:ascii="Times New Roman" w:hAnsi="Times New Roman" w:cs="Times New Roman"/>
          <w:sz w:val="24"/>
          <w:szCs w:val="24"/>
        </w:rPr>
      </w:pPr>
    </w:p>
    <w:p w14:paraId="6AE19B97" w14:textId="77777777" w:rsidR="008514F5" w:rsidRDefault="008514F5" w:rsidP="008514F5">
      <w:pPr>
        <w:rPr>
          <w:rFonts w:ascii="Times New Roman" w:hAnsi="Times New Roman" w:cs="Times New Roman"/>
          <w:sz w:val="24"/>
          <w:szCs w:val="24"/>
        </w:rPr>
      </w:pPr>
    </w:p>
    <w:p w14:paraId="6AE19B98" w14:textId="77777777" w:rsidR="008514F5" w:rsidRDefault="008514F5" w:rsidP="008514F5">
      <w:pPr>
        <w:rPr>
          <w:rFonts w:ascii="Times New Roman" w:hAnsi="Times New Roman" w:cs="Times New Roman"/>
          <w:sz w:val="24"/>
          <w:szCs w:val="24"/>
        </w:rPr>
      </w:pPr>
    </w:p>
    <w:p w14:paraId="6AE19B99" w14:textId="77777777" w:rsidR="008514F5" w:rsidRDefault="008514F5" w:rsidP="008514F5">
      <w:pPr>
        <w:spacing w:after="120" w:line="360" w:lineRule="auto"/>
        <w:ind w:firstLine="720"/>
        <w:jc w:val="center"/>
        <w:rPr>
          <w:rFonts w:ascii="Times New Roman" w:hAnsi="Times New Roman" w:cs="Times New Roman"/>
          <w:sz w:val="24"/>
          <w:szCs w:val="24"/>
        </w:rPr>
      </w:pPr>
      <w:r>
        <w:rPr>
          <w:rFonts w:ascii="Times New Roman" w:hAnsi="Times New Roman" w:cs="Times New Roman"/>
          <w:sz w:val="24"/>
          <w:szCs w:val="24"/>
        </w:rPr>
        <w:br w:type="page"/>
      </w:r>
    </w:p>
    <w:p w14:paraId="6AE19B9A" w14:textId="77777777" w:rsidR="008514F5" w:rsidRDefault="008514F5" w:rsidP="008514F5">
      <w:pPr>
        <w:jc w:val="right"/>
        <w:rPr>
          <w:rFonts w:ascii="Times New Roman" w:hAnsi="Times New Roman" w:cs="Times New Roman"/>
          <w:sz w:val="24"/>
          <w:szCs w:val="24"/>
        </w:rPr>
      </w:pPr>
    </w:p>
    <w:p w14:paraId="6AE19B9B" w14:textId="77777777" w:rsidR="008514F5" w:rsidRDefault="008514F5" w:rsidP="008514F5">
      <w:pPr>
        <w:rPr>
          <w:rFonts w:ascii="Times New Roman" w:hAnsi="Times New Roman" w:cs="Times New Roman"/>
          <w:sz w:val="24"/>
          <w:szCs w:val="24"/>
        </w:rPr>
        <w:sectPr w:rsidR="008514F5" w:rsidSect="00EA3C9B">
          <w:pgSz w:w="11906" w:h="16838"/>
          <w:pgMar w:top="1134" w:right="567" w:bottom="1134" w:left="1701" w:header="567" w:footer="567" w:gutter="0"/>
          <w:cols w:space="1296"/>
          <w:docGrid w:linePitch="360"/>
        </w:sectPr>
      </w:pPr>
    </w:p>
    <w:tbl>
      <w:tblPr>
        <w:tblW w:w="14633" w:type="dxa"/>
        <w:tblInd w:w="-106" w:type="dxa"/>
        <w:tblLook w:val="01E0" w:firstRow="1" w:lastRow="1" w:firstColumn="1" w:lastColumn="1" w:noHBand="0" w:noVBand="0"/>
      </w:tblPr>
      <w:tblGrid>
        <w:gridCol w:w="8367"/>
        <w:gridCol w:w="6266"/>
      </w:tblGrid>
      <w:tr w:rsidR="008514F5" w14:paraId="6AE19BA0" w14:textId="77777777" w:rsidTr="00B773ED">
        <w:trPr>
          <w:trHeight w:val="1315"/>
        </w:trPr>
        <w:tc>
          <w:tcPr>
            <w:tcW w:w="8367" w:type="dxa"/>
          </w:tcPr>
          <w:p w14:paraId="6AE19B9C" w14:textId="77777777" w:rsidR="008514F5" w:rsidRDefault="008514F5" w:rsidP="00B773ED">
            <w:pPr>
              <w:rPr>
                <w:rFonts w:ascii="Times New Roman" w:hAnsi="Times New Roman" w:cs="Times New Roman"/>
                <w:sz w:val="24"/>
                <w:szCs w:val="24"/>
              </w:rPr>
            </w:pPr>
          </w:p>
        </w:tc>
        <w:tc>
          <w:tcPr>
            <w:tcW w:w="6266" w:type="dxa"/>
          </w:tcPr>
          <w:p w14:paraId="6AE19B9D" w14:textId="77777777" w:rsidR="008514F5" w:rsidRDefault="008514F5" w:rsidP="00B773ED">
            <w:pPr>
              <w:rPr>
                <w:rFonts w:ascii="Times New Roman" w:hAnsi="Times New Roman" w:cs="Times New Roman"/>
                <w:sz w:val="24"/>
                <w:szCs w:val="24"/>
              </w:rPr>
            </w:pPr>
            <w:r>
              <w:rPr>
                <w:rFonts w:ascii="Times New Roman" w:hAnsi="Times New Roman" w:cs="Times New Roman"/>
                <w:sz w:val="24"/>
                <w:szCs w:val="24"/>
              </w:rPr>
              <w:t xml:space="preserve">Gaisrinių gelbėjimo automobilių parko ir gaisrinės gelbėjimo įrangos atnaujinimo Rokiškio rajono savivaldybės priešgaisrinėje tarnyboje 2018-2023 metų programos </w:t>
            </w:r>
          </w:p>
          <w:p w14:paraId="6AE19B9E" w14:textId="77777777" w:rsidR="008514F5" w:rsidRDefault="008514F5" w:rsidP="00B773ED">
            <w:pPr>
              <w:rPr>
                <w:rFonts w:ascii="Times New Roman" w:hAnsi="Times New Roman" w:cs="Times New Roman"/>
                <w:sz w:val="24"/>
                <w:szCs w:val="24"/>
              </w:rPr>
            </w:pPr>
            <w:r>
              <w:rPr>
                <w:rFonts w:ascii="Times New Roman" w:hAnsi="Times New Roman" w:cs="Times New Roman"/>
                <w:sz w:val="24"/>
                <w:szCs w:val="24"/>
              </w:rPr>
              <w:t>priedas</w:t>
            </w:r>
          </w:p>
          <w:p w14:paraId="6AE19B9F" w14:textId="77777777" w:rsidR="008514F5" w:rsidRDefault="008514F5" w:rsidP="00B773ED">
            <w:pPr>
              <w:rPr>
                <w:rFonts w:ascii="Times New Roman" w:hAnsi="Times New Roman" w:cs="Times New Roman"/>
                <w:sz w:val="24"/>
                <w:szCs w:val="24"/>
              </w:rPr>
            </w:pPr>
          </w:p>
        </w:tc>
      </w:tr>
    </w:tbl>
    <w:p w14:paraId="6AE19BA1" w14:textId="77777777" w:rsidR="008514F5" w:rsidRDefault="008514F5" w:rsidP="008514F5">
      <w:pPr>
        <w:rPr>
          <w:rFonts w:ascii="Times New Roman" w:hAnsi="Times New Roman" w:cs="Times New Roman"/>
          <w:sz w:val="24"/>
          <w:szCs w:val="24"/>
        </w:rPr>
      </w:pPr>
    </w:p>
    <w:p w14:paraId="6AE19BA2" w14:textId="77777777" w:rsidR="008514F5" w:rsidRDefault="008514F5" w:rsidP="008514F5">
      <w:pPr>
        <w:jc w:val="center"/>
        <w:rPr>
          <w:rFonts w:ascii="Times New Roman" w:hAnsi="Times New Roman" w:cs="Times New Roman"/>
          <w:sz w:val="24"/>
          <w:szCs w:val="24"/>
        </w:rPr>
      </w:pPr>
      <w:r>
        <w:rPr>
          <w:rFonts w:ascii="Times New Roman" w:hAnsi="Times New Roman" w:cs="Times New Roman"/>
          <w:b/>
          <w:bCs/>
          <w:caps/>
          <w:sz w:val="24"/>
          <w:szCs w:val="24"/>
        </w:rPr>
        <w:t>Gaisrinių gelbėjimo automobilių parko IR GAISRINĖS GELBĖJIMO ĮRANGOS atnaujinimo ROKIŠKIO RAJONO SAVIVALDYBĖS PRIEŠGAISRINĖJE tarnyboje 2018-2023 Metų programos įgyvendinimo</w:t>
      </w:r>
      <w:r>
        <w:rPr>
          <w:rFonts w:ascii="Times New Roman" w:hAnsi="Times New Roman" w:cs="Times New Roman"/>
          <w:sz w:val="24"/>
          <w:szCs w:val="24"/>
        </w:rPr>
        <w:t xml:space="preserve"> </w:t>
      </w:r>
      <w:r>
        <w:rPr>
          <w:rFonts w:ascii="Times New Roman" w:hAnsi="Times New Roman" w:cs="Times New Roman"/>
          <w:b/>
          <w:bCs/>
          <w:caps/>
          <w:sz w:val="24"/>
          <w:szCs w:val="24"/>
        </w:rPr>
        <w:t>pRIEMONĖS</w:t>
      </w:r>
    </w:p>
    <w:p w14:paraId="6AE19BA3" w14:textId="77777777" w:rsidR="008514F5" w:rsidRDefault="008514F5" w:rsidP="008514F5">
      <w:pPr>
        <w:rPr>
          <w:rFonts w:ascii="Times New Roman" w:hAnsi="Times New Roman" w:cs="Times New Roman"/>
          <w:sz w:val="24"/>
          <w:szCs w:val="24"/>
        </w:rPr>
      </w:pPr>
      <w:r>
        <w:rPr>
          <w:rFonts w:ascii="Times New Roman" w:hAnsi="Times New Roman" w:cs="Times New Roman"/>
          <w:sz w:val="24"/>
          <w:szCs w:val="24"/>
        </w:rPr>
        <w:t> </w:t>
      </w:r>
    </w:p>
    <w:tbl>
      <w:tblPr>
        <w:tblW w:w="14876" w:type="dxa"/>
        <w:tblInd w:w="279" w:type="dxa"/>
        <w:tblLayout w:type="fixed"/>
        <w:tblCellMar>
          <w:left w:w="0" w:type="dxa"/>
          <w:right w:w="0" w:type="dxa"/>
        </w:tblCellMar>
        <w:tblLook w:val="04A0" w:firstRow="1" w:lastRow="0" w:firstColumn="1" w:lastColumn="0" w:noHBand="0" w:noVBand="1"/>
      </w:tblPr>
      <w:tblGrid>
        <w:gridCol w:w="1432"/>
        <w:gridCol w:w="1431"/>
        <w:gridCol w:w="725"/>
        <w:gridCol w:w="1276"/>
        <w:gridCol w:w="715"/>
        <w:gridCol w:w="1287"/>
        <w:gridCol w:w="715"/>
        <w:gridCol w:w="1286"/>
        <w:gridCol w:w="715"/>
        <w:gridCol w:w="1287"/>
        <w:gridCol w:w="715"/>
        <w:gridCol w:w="1286"/>
        <w:gridCol w:w="715"/>
        <w:gridCol w:w="1291"/>
      </w:tblGrid>
      <w:tr w:rsidR="008514F5" w14:paraId="6AE19BAC" w14:textId="77777777" w:rsidTr="00B773ED">
        <w:tc>
          <w:tcPr>
            <w:tcW w:w="1432" w:type="dxa"/>
            <w:vMerge w:val="restart"/>
            <w:tcBorders>
              <w:top w:val="single" w:sz="4" w:space="0" w:color="000000"/>
              <w:left w:val="single" w:sz="4" w:space="0" w:color="000000"/>
              <w:bottom w:val="single" w:sz="4" w:space="0" w:color="000000"/>
              <w:right w:val="single" w:sz="6" w:space="0" w:color="000000"/>
            </w:tcBorders>
            <w:vAlign w:val="center"/>
            <w:hideMark/>
          </w:tcPr>
          <w:p w14:paraId="6AE19BA4"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Technikos ir įrangos pavadinimas</w:t>
            </w:r>
          </w:p>
        </w:tc>
        <w:tc>
          <w:tcPr>
            <w:tcW w:w="1431" w:type="dxa"/>
            <w:vMerge w:val="restart"/>
            <w:tcBorders>
              <w:top w:val="single" w:sz="4" w:space="0" w:color="000000"/>
              <w:left w:val="single" w:sz="8" w:space="0" w:color="000000"/>
              <w:bottom w:val="single" w:sz="4" w:space="0" w:color="000000"/>
              <w:right w:val="single" w:sz="6" w:space="0" w:color="000000"/>
            </w:tcBorders>
            <w:vAlign w:val="center"/>
            <w:hideMark/>
          </w:tcPr>
          <w:p w14:paraId="6AE19BA5"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Įgyvendinanti  institucija</w:t>
            </w:r>
          </w:p>
        </w:tc>
        <w:tc>
          <w:tcPr>
            <w:tcW w:w="2001" w:type="dxa"/>
            <w:gridSpan w:val="2"/>
            <w:tcBorders>
              <w:top w:val="single" w:sz="4" w:space="0" w:color="000000"/>
              <w:left w:val="single" w:sz="8" w:space="0" w:color="000000"/>
              <w:bottom w:val="single" w:sz="8" w:space="0" w:color="000000"/>
              <w:right w:val="single" w:sz="6" w:space="0" w:color="000000"/>
            </w:tcBorders>
            <w:vAlign w:val="center"/>
            <w:hideMark/>
          </w:tcPr>
          <w:p w14:paraId="6AE19BA6"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2018 metai</w:t>
            </w:r>
          </w:p>
        </w:tc>
        <w:tc>
          <w:tcPr>
            <w:tcW w:w="2002" w:type="dxa"/>
            <w:gridSpan w:val="2"/>
            <w:tcBorders>
              <w:top w:val="single" w:sz="4" w:space="0" w:color="000000"/>
              <w:left w:val="single" w:sz="8" w:space="0" w:color="000000"/>
              <w:bottom w:val="single" w:sz="8" w:space="0" w:color="000000"/>
              <w:right w:val="single" w:sz="6" w:space="0" w:color="000000"/>
            </w:tcBorders>
            <w:vAlign w:val="center"/>
            <w:hideMark/>
          </w:tcPr>
          <w:p w14:paraId="6AE19BA7"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2019 metai</w:t>
            </w:r>
          </w:p>
        </w:tc>
        <w:tc>
          <w:tcPr>
            <w:tcW w:w="2001" w:type="dxa"/>
            <w:gridSpan w:val="2"/>
            <w:tcBorders>
              <w:top w:val="single" w:sz="4" w:space="0" w:color="000000"/>
              <w:left w:val="single" w:sz="8" w:space="0" w:color="000000"/>
              <w:bottom w:val="single" w:sz="8" w:space="0" w:color="000000"/>
              <w:right w:val="single" w:sz="6" w:space="0" w:color="000000"/>
            </w:tcBorders>
            <w:vAlign w:val="center"/>
            <w:hideMark/>
          </w:tcPr>
          <w:p w14:paraId="6AE19BA8"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2020 metai</w:t>
            </w:r>
          </w:p>
        </w:tc>
        <w:tc>
          <w:tcPr>
            <w:tcW w:w="2002" w:type="dxa"/>
            <w:gridSpan w:val="2"/>
            <w:tcBorders>
              <w:top w:val="single" w:sz="4" w:space="0" w:color="000000"/>
              <w:left w:val="single" w:sz="8" w:space="0" w:color="000000"/>
              <w:bottom w:val="single" w:sz="8" w:space="0" w:color="000000"/>
              <w:right w:val="single" w:sz="6" w:space="0" w:color="000000"/>
            </w:tcBorders>
            <w:vAlign w:val="center"/>
            <w:hideMark/>
          </w:tcPr>
          <w:p w14:paraId="6AE19BA9"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2021 metai</w:t>
            </w:r>
          </w:p>
        </w:tc>
        <w:tc>
          <w:tcPr>
            <w:tcW w:w="2001" w:type="dxa"/>
            <w:gridSpan w:val="2"/>
            <w:tcBorders>
              <w:top w:val="single" w:sz="4" w:space="0" w:color="000000"/>
              <w:left w:val="single" w:sz="8" w:space="0" w:color="000000"/>
              <w:bottom w:val="single" w:sz="8" w:space="0" w:color="000000"/>
              <w:right w:val="single" w:sz="4" w:space="0" w:color="000000"/>
            </w:tcBorders>
            <w:hideMark/>
          </w:tcPr>
          <w:p w14:paraId="6AE19BAA"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2022 metai</w:t>
            </w:r>
          </w:p>
        </w:tc>
        <w:tc>
          <w:tcPr>
            <w:tcW w:w="2006" w:type="dxa"/>
            <w:gridSpan w:val="2"/>
            <w:tcBorders>
              <w:top w:val="single" w:sz="4" w:space="0" w:color="000000"/>
              <w:left w:val="single" w:sz="8" w:space="0" w:color="000000"/>
              <w:bottom w:val="single" w:sz="8" w:space="0" w:color="000000"/>
              <w:right w:val="single" w:sz="4" w:space="0" w:color="000000"/>
            </w:tcBorders>
            <w:vAlign w:val="center"/>
            <w:hideMark/>
          </w:tcPr>
          <w:p w14:paraId="6AE19BAB"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2023 metai</w:t>
            </w:r>
          </w:p>
        </w:tc>
      </w:tr>
      <w:tr w:rsidR="008514F5" w14:paraId="6AE19BBB" w14:textId="77777777" w:rsidTr="00B773ED">
        <w:tc>
          <w:tcPr>
            <w:tcW w:w="1432" w:type="dxa"/>
            <w:vMerge/>
            <w:tcBorders>
              <w:top w:val="single" w:sz="4" w:space="0" w:color="000000"/>
              <w:left w:val="single" w:sz="4" w:space="0" w:color="000000"/>
              <w:bottom w:val="single" w:sz="4" w:space="0" w:color="000000"/>
              <w:right w:val="single" w:sz="6" w:space="0" w:color="000000"/>
            </w:tcBorders>
            <w:vAlign w:val="center"/>
            <w:hideMark/>
          </w:tcPr>
          <w:p w14:paraId="6AE19BAD" w14:textId="77777777" w:rsidR="008514F5" w:rsidRDefault="008514F5" w:rsidP="00B773ED">
            <w:pPr>
              <w:rPr>
                <w:rFonts w:ascii="Times New Roman" w:hAnsi="Times New Roman" w:cs="Times New Roman"/>
                <w:sz w:val="24"/>
                <w:szCs w:val="24"/>
              </w:rPr>
            </w:pPr>
          </w:p>
        </w:tc>
        <w:tc>
          <w:tcPr>
            <w:tcW w:w="1431" w:type="dxa"/>
            <w:vMerge/>
            <w:tcBorders>
              <w:top w:val="single" w:sz="4" w:space="0" w:color="000000"/>
              <w:left w:val="single" w:sz="8" w:space="0" w:color="000000"/>
              <w:bottom w:val="single" w:sz="4" w:space="0" w:color="000000"/>
              <w:right w:val="single" w:sz="6" w:space="0" w:color="000000"/>
            </w:tcBorders>
            <w:vAlign w:val="center"/>
            <w:hideMark/>
          </w:tcPr>
          <w:p w14:paraId="6AE19BAE" w14:textId="77777777" w:rsidR="008514F5" w:rsidRDefault="008514F5" w:rsidP="00B773ED">
            <w:pPr>
              <w:rPr>
                <w:rFonts w:ascii="Times New Roman" w:hAnsi="Times New Roman" w:cs="Times New Roman"/>
                <w:sz w:val="24"/>
                <w:szCs w:val="24"/>
              </w:rPr>
            </w:pPr>
          </w:p>
        </w:tc>
        <w:tc>
          <w:tcPr>
            <w:tcW w:w="725" w:type="dxa"/>
            <w:tcBorders>
              <w:top w:val="single" w:sz="4" w:space="0" w:color="000000"/>
              <w:left w:val="single" w:sz="8" w:space="0" w:color="000000"/>
              <w:bottom w:val="single" w:sz="4" w:space="0" w:color="000000"/>
              <w:right w:val="single" w:sz="6" w:space="0" w:color="000000"/>
            </w:tcBorders>
            <w:vAlign w:val="center"/>
            <w:hideMark/>
          </w:tcPr>
          <w:p w14:paraId="6AE19BAF"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kiekis (vnt.)</w:t>
            </w:r>
          </w:p>
        </w:tc>
        <w:tc>
          <w:tcPr>
            <w:tcW w:w="1276" w:type="dxa"/>
            <w:tcBorders>
              <w:top w:val="single" w:sz="8" w:space="0" w:color="000000"/>
              <w:left w:val="single" w:sz="8" w:space="0" w:color="000000"/>
              <w:bottom w:val="single" w:sz="4" w:space="0" w:color="000000"/>
              <w:right w:val="single" w:sz="6" w:space="0" w:color="000000"/>
            </w:tcBorders>
            <w:vAlign w:val="center"/>
            <w:hideMark/>
          </w:tcPr>
          <w:p w14:paraId="6AE19BB0"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preliminarus lėšų poreikis (tūkst.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c>
          <w:tcPr>
            <w:tcW w:w="715" w:type="dxa"/>
            <w:tcBorders>
              <w:top w:val="single" w:sz="4" w:space="0" w:color="000000"/>
              <w:left w:val="single" w:sz="8" w:space="0" w:color="000000"/>
              <w:bottom w:val="single" w:sz="4" w:space="0" w:color="000000"/>
              <w:right w:val="single" w:sz="6" w:space="0" w:color="000000"/>
            </w:tcBorders>
            <w:vAlign w:val="center"/>
            <w:hideMark/>
          </w:tcPr>
          <w:p w14:paraId="6AE19BB1"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kiekis (vnt.)</w:t>
            </w:r>
          </w:p>
        </w:tc>
        <w:tc>
          <w:tcPr>
            <w:tcW w:w="1287" w:type="dxa"/>
            <w:tcBorders>
              <w:top w:val="single" w:sz="4" w:space="0" w:color="000000"/>
              <w:left w:val="single" w:sz="8" w:space="0" w:color="000000"/>
              <w:bottom w:val="single" w:sz="4" w:space="0" w:color="000000"/>
              <w:right w:val="single" w:sz="6" w:space="0" w:color="000000"/>
            </w:tcBorders>
            <w:vAlign w:val="center"/>
            <w:hideMark/>
          </w:tcPr>
          <w:p w14:paraId="6AE19BB2"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preliminarus lėšų poreikis (tūkst.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c>
          <w:tcPr>
            <w:tcW w:w="715" w:type="dxa"/>
            <w:tcBorders>
              <w:top w:val="single" w:sz="4" w:space="0" w:color="000000"/>
              <w:left w:val="single" w:sz="8" w:space="0" w:color="000000"/>
              <w:bottom w:val="single" w:sz="4" w:space="0" w:color="000000"/>
              <w:right w:val="single" w:sz="6" w:space="0" w:color="000000"/>
            </w:tcBorders>
            <w:vAlign w:val="center"/>
            <w:hideMark/>
          </w:tcPr>
          <w:p w14:paraId="6AE19BB3"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kiekis (vnt.)</w:t>
            </w:r>
          </w:p>
        </w:tc>
        <w:tc>
          <w:tcPr>
            <w:tcW w:w="1286" w:type="dxa"/>
            <w:tcBorders>
              <w:top w:val="single" w:sz="4" w:space="0" w:color="000000"/>
              <w:left w:val="single" w:sz="8" w:space="0" w:color="000000"/>
              <w:bottom w:val="single" w:sz="4" w:space="0" w:color="000000"/>
              <w:right w:val="single" w:sz="6" w:space="0" w:color="000000"/>
            </w:tcBorders>
            <w:vAlign w:val="center"/>
            <w:hideMark/>
          </w:tcPr>
          <w:p w14:paraId="6AE19BB4"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preliminarus lėšų poreikis (tūkst.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c>
          <w:tcPr>
            <w:tcW w:w="715" w:type="dxa"/>
            <w:tcBorders>
              <w:top w:val="single" w:sz="4" w:space="0" w:color="000000"/>
              <w:left w:val="single" w:sz="8" w:space="0" w:color="000000"/>
              <w:bottom w:val="single" w:sz="4" w:space="0" w:color="000000"/>
              <w:right w:val="single" w:sz="8" w:space="0" w:color="000000"/>
            </w:tcBorders>
            <w:vAlign w:val="center"/>
            <w:hideMark/>
          </w:tcPr>
          <w:p w14:paraId="6AE19BB5"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kiekis (vnt.)</w:t>
            </w:r>
          </w:p>
        </w:tc>
        <w:tc>
          <w:tcPr>
            <w:tcW w:w="1287" w:type="dxa"/>
            <w:tcBorders>
              <w:top w:val="single" w:sz="4" w:space="0" w:color="000000"/>
              <w:left w:val="single" w:sz="8" w:space="0" w:color="000000"/>
              <w:bottom w:val="single" w:sz="4" w:space="0" w:color="000000"/>
              <w:right w:val="single" w:sz="4" w:space="0" w:color="000000"/>
            </w:tcBorders>
            <w:vAlign w:val="center"/>
            <w:hideMark/>
          </w:tcPr>
          <w:p w14:paraId="6AE19BB6"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preliminarus lėšų poreikis (tūkst.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c>
          <w:tcPr>
            <w:tcW w:w="715" w:type="dxa"/>
            <w:tcBorders>
              <w:top w:val="single" w:sz="4" w:space="0" w:color="000000"/>
              <w:left w:val="single" w:sz="8" w:space="0" w:color="000000"/>
              <w:bottom w:val="single" w:sz="4" w:space="0" w:color="000000"/>
              <w:right w:val="single" w:sz="4" w:space="0" w:color="000000"/>
            </w:tcBorders>
            <w:vAlign w:val="center"/>
            <w:hideMark/>
          </w:tcPr>
          <w:p w14:paraId="6AE19BB7"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kiekis (vnt.)</w:t>
            </w:r>
          </w:p>
        </w:tc>
        <w:tc>
          <w:tcPr>
            <w:tcW w:w="1286" w:type="dxa"/>
            <w:tcBorders>
              <w:top w:val="single" w:sz="4" w:space="0" w:color="000000"/>
              <w:left w:val="single" w:sz="4" w:space="0" w:color="000000"/>
              <w:bottom w:val="single" w:sz="4" w:space="0" w:color="000000"/>
              <w:right w:val="single" w:sz="6" w:space="0" w:color="000000"/>
            </w:tcBorders>
            <w:vAlign w:val="center"/>
            <w:hideMark/>
          </w:tcPr>
          <w:p w14:paraId="6AE19BB8"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preliminarus lėšų poreikis (tūkst.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c>
          <w:tcPr>
            <w:tcW w:w="715" w:type="dxa"/>
            <w:tcBorders>
              <w:top w:val="single" w:sz="4" w:space="0" w:color="000000"/>
              <w:left w:val="single" w:sz="8" w:space="0" w:color="000000"/>
              <w:bottom w:val="single" w:sz="4" w:space="0" w:color="000000"/>
              <w:right w:val="single" w:sz="4" w:space="0" w:color="000000"/>
            </w:tcBorders>
            <w:vAlign w:val="center"/>
            <w:hideMark/>
          </w:tcPr>
          <w:p w14:paraId="6AE19BB9"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kiekis (vnt.)</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6AE19BBA"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preliminarus lėšų poreikis (tūkst.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tc>
      </w:tr>
      <w:tr w:rsidR="008514F5" w14:paraId="6AE19BCA" w14:textId="77777777" w:rsidTr="00B773ED">
        <w:tc>
          <w:tcPr>
            <w:tcW w:w="1432" w:type="dxa"/>
            <w:tcBorders>
              <w:top w:val="single" w:sz="4" w:space="0" w:color="000000"/>
              <w:left w:val="single" w:sz="4" w:space="0" w:color="000000"/>
              <w:bottom w:val="single" w:sz="8" w:space="0" w:color="000000"/>
              <w:right w:val="single" w:sz="6" w:space="0" w:color="000000"/>
            </w:tcBorders>
            <w:vAlign w:val="center"/>
            <w:hideMark/>
          </w:tcPr>
          <w:p w14:paraId="6AE19BBC" w14:textId="77777777" w:rsidR="008514F5" w:rsidRDefault="008514F5" w:rsidP="00B773ED">
            <w:pPr>
              <w:ind w:left="234" w:hanging="180"/>
              <w:jc w:val="center"/>
              <w:rPr>
                <w:rFonts w:ascii="Times New Roman" w:hAnsi="Times New Roman" w:cs="Times New Roman"/>
                <w:sz w:val="24"/>
                <w:szCs w:val="24"/>
              </w:rPr>
            </w:pPr>
            <w:r>
              <w:rPr>
                <w:rFonts w:ascii="Times New Roman" w:hAnsi="Times New Roman" w:cs="Times New Roman"/>
                <w:sz w:val="24"/>
                <w:szCs w:val="24"/>
              </w:rPr>
              <w:t>1.Lengvosios gaisrinės automobilinės cisternos</w:t>
            </w:r>
          </w:p>
        </w:tc>
        <w:tc>
          <w:tcPr>
            <w:tcW w:w="1431" w:type="dxa"/>
            <w:tcBorders>
              <w:top w:val="single" w:sz="4" w:space="0" w:color="000000"/>
              <w:left w:val="single" w:sz="8" w:space="0" w:color="000000"/>
              <w:bottom w:val="single" w:sz="4" w:space="0" w:color="000000"/>
              <w:right w:val="single" w:sz="4" w:space="0" w:color="000000"/>
            </w:tcBorders>
            <w:vAlign w:val="center"/>
            <w:hideMark/>
          </w:tcPr>
          <w:p w14:paraId="6AE19BBD"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Savivaldybės priešgaisrinė tarnyba</w:t>
            </w:r>
          </w:p>
        </w:tc>
        <w:tc>
          <w:tcPr>
            <w:tcW w:w="725" w:type="dxa"/>
            <w:tcBorders>
              <w:top w:val="single" w:sz="4" w:space="0" w:color="000000"/>
              <w:left w:val="single" w:sz="4" w:space="0" w:color="000000"/>
              <w:bottom w:val="single" w:sz="8" w:space="0" w:color="000000"/>
              <w:right w:val="single" w:sz="6" w:space="0" w:color="000000"/>
            </w:tcBorders>
            <w:vAlign w:val="center"/>
          </w:tcPr>
          <w:p w14:paraId="6AE19BBE" w14:textId="77777777" w:rsidR="008514F5" w:rsidRDefault="008514F5" w:rsidP="00B773ED">
            <w:pPr>
              <w:jc w:val="center"/>
              <w:rPr>
                <w:rFonts w:ascii="Times New Roman" w:hAnsi="Times New Roman" w:cs="Times New Roman"/>
                <w:sz w:val="24"/>
                <w:szCs w:val="24"/>
              </w:rPr>
            </w:pPr>
          </w:p>
        </w:tc>
        <w:tc>
          <w:tcPr>
            <w:tcW w:w="1276" w:type="dxa"/>
            <w:tcBorders>
              <w:top w:val="single" w:sz="4" w:space="0" w:color="000000"/>
              <w:left w:val="single" w:sz="8" w:space="0" w:color="000000"/>
              <w:bottom w:val="single" w:sz="8" w:space="0" w:color="000000"/>
              <w:right w:val="single" w:sz="6" w:space="0" w:color="000000"/>
            </w:tcBorders>
            <w:vAlign w:val="center"/>
          </w:tcPr>
          <w:p w14:paraId="6AE19BBF" w14:textId="77777777" w:rsidR="008514F5" w:rsidRDefault="008514F5" w:rsidP="00B773ED">
            <w:pPr>
              <w:jc w:val="center"/>
              <w:rPr>
                <w:rFonts w:ascii="Times New Roman" w:hAnsi="Times New Roman" w:cs="Times New Roman"/>
                <w:sz w:val="24"/>
                <w:szCs w:val="24"/>
              </w:rPr>
            </w:pPr>
          </w:p>
        </w:tc>
        <w:tc>
          <w:tcPr>
            <w:tcW w:w="715" w:type="dxa"/>
            <w:tcBorders>
              <w:top w:val="single" w:sz="4" w:space="0" w:color="000000"/>
              <w:left w:val="single" w:sz="8" w:space="0" w:color="000000"/>
              <w:bottom w:val="single" w:sz="8" w:space="0" w:color="000000"/>
              <w:right w:val="single" w:sz="6" w:space="0" w:color="000000"/>
            </w:tcBorders>
            <w:vAlign w:val="center"/>
            <w:hideMark/>
          </w:tcPr>
          <w:p w14:paraId="6AE19BC0"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w:t>
            </w:r>
          </w:p>
        </w:tc>
        <w:tc>
          <w:tcPr>
            <w:tcW w:w="1287" w:type="dxa"/>
            <w:tcBorders>
              <w:top w:val="single" w:sz="4" w:space="0" w:color="000000"/>
              <w:left w:val="single" w:sz="8" w:space="0" w:color="000000"/>
              <w:bottom w:val="single" w:sz="8" w:space="0" w:color="000000"/>
              <w:right w:val="single" w:sz="6" w:space="0" w:color="000000"/>
            </w:tcBorders>
            <w:vAlign w:val="center"/>
            <w:hideMark/>
          </w:tcPr>
          <w:p w14:paraId="6AE19BC1"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136,00</w:t>
            </w:r>
          </w:p>
        </w:tc>
        <w:tc>
          <w:tcPr>
            <w:tcW w:w="715" w:type="dxa"/>
            <w:tcBorders>
              <w:top w:val="single" w:sz="4" w:space="0" w:color="000000"/>
              <w:left w:val="single" w:sz="8" w:space="0" w:color="000000"/>
              <w:bottom w:val="single" w:sz="8" w:space="0" w:color="000000"/>
              <w:right w:val="single" w:sz="6" w:space="0" w:color="000000"/>
            </w:tcBorders>
            <w:vAlign w:val="center"/>
            <w:hideMark/>
          </w:tcPr>
          <w:p w14:paraId="6AE19BC2"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4" w:space="0" w:color="000000"/>
              <w:left w:val="single" w:sz="8" w:space="0" w:color="000000"/>
              <w:bottom w:val="single" w:sz="8" w:space="0" w:color="000000"/>
              <w:right w:val="single" w:sz="6" w:space="0" w:color="000000"/>
            </w:tcBorders>
            <w:vAlign w:val="center"/>
            <w:hideMark/>
          </w:tcPr>
          <w:p w14:paraId="6AE19BC3"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30,00</w:t>
            </w:r>
          </w:p>
        </w:tc>
        <w:tc>
          <w:tcPr>
            <w:tcW w:w="715" w:type="dxa"/>
            <w:tcBorders>
              <w:top w:val="single" w:sz="4" w:space="0" w:color="000000"/>
              <w:left w:val="single" w:sz="8" w:space="0" w:color="000000"/>
              <w:bottom w:val="single" w:sz="8" w:space="0" w:color="000000"/>
              <w:right w:val="single" w:sz="8" w:space="0" w:color="000000"/>
            </w:tcBorders>
            <w:vAlign w:val="center"/>
          </w:tcPr>
          <w:p w14:paraId="6AE19BC4" w14:textId="77777777" w:rsidR="008514F5" w:rsidRDefault="008514F5" w:rsidP="00B773ED">
            <w:pPr>
              <w:jc w:val="center"/>
              <w:rPr>
                <w:rFonts w:ascii="Times New Roman" w:hAnsi="Times New Roman" w:cs="Times New Roman"/>
                <w:sz w:val="24"/>
                <w:szCs w:val="24"/>
              </w:rPr>
            </w:pPr>
          </w:p>
        </w:tc>
        <w:tc>
          <w:tcPr>
            <w:tcW w:w="1287" w:type="dxa"/>
            <w:tcBorders>
              <w:top w:val="single" w:sz="4" w:space="0" w:color="000000"/>
              <w:left w:val="single" w:sz="8" w:space="0" w:color="000000"/>
              <w:bottom w:val="single" w:sz="8" w:space="0" w:color="000000"/>
              <w:right w:val="single" w:sz="4" w:space="0" w:color="000000"/>
            </w:tcBorders>
            <w:vAlign w:val="center"/>
            <w:hideMark/>
          </w:tcPr>
          <w:p w14:paraId="6AE19BC5"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30,00</w:t>
            </w:r>
          </w:p>
        </w:tc>
        <w:tc>
          <w:tcPr>
            <w:tcW w:w="715" w:type="dxa"/>
            <w:tcBorders>
              <w:top w:val="single" w:sz="4" w:space="0" w:color="000000"/>
              <w:left w:val="single" w:sz="8" w:space="0" w:color="000000"/>
              <w:bottom w:val="single" w:sz="8" w:space="0" w:color="000000"/>
              <w:right w:val="single" w:sz="4" w:space="0" w:color="000000"/>
            </w:tcBorders>
            <w:vAlign w:val="center"/>
            <w:hideMark/>
          </w:tcPr>
          <w:p w14:paraId="6AE19BC6"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4" w:space="0" w:color="000000"/>
              <w:left w:val="single" w:sz="4" w:space="0" w:color="000000"/>
              <w:bottom w:val="single" w:sz="8" w:space="0" w:color="000000"/>
              <w:right w:val="single" w:sz="6" w:space="0" w:color="000000"/>
            </w:tcBorders>
            <w:vAlign w:val="center"/>
            <w:hideMark/>
          </w:tcPr>
          <w:p w14:paraId="6AE19BC7"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30,00</w:t>
            </w:r>
          </w:p>
        </w:tc>
        <w:tc>
          <w:tcPr>
            <w:tcW w:w="715" w:type="dxa"/>
            <w:tcBorders>
              <w:top w:val="single" w:sz="4" w:space="0" w:color="000000"/>
              <w:left w:val="single" w:sz="8" w:space="0" w:color="000000"/>
              <w:bottom w:val="single" w:sz="8" w:space="0" w:color="000000"/>
              <w:right w:val="single" w:sz="4" w:space="0" w:color="000000"/>
            </w:tcBorders>
            <w:vAlign w:val="center"/>
            <w:hideMark/>
          </w:tcPr>
          <w:p w14:paraId="6AE19BC8"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1</w:t>
            </w:r>
          </w:p>
        </w:tc>
        <w:tc>
          <w:tcPr>
            <w:tcW w:w="1291" w:type="dxa"/>
            <w:tcBorders>
              <w:top w:val="single" w:sz="4" w:space="0" w:color="000000"/>
              <w:left w:val="single" w:sz="4" w:space="0" w:color="000000"/>
              <w:bottom w:val="single" w:sz="8" w:space="0" w:color="000000"/>
              <w:right w:val="single" w:sz="4" w:space="0" w:color="000000"/>
            </w:tcBorders>
            <w:vAlign w:val="center"/>
            <w:hideMark/>
          </w:tcPr>
          <w:p w14:paraId="6AE19BC9"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30,00</w:t>
            </w:r>
          </w:p>
        </w:tc>
      </w:tr>
      <w:tr w:rsidR="008514F5" w14:paraId="6AE19BE1" w14:textId="77777777" w:rsidTr="00B773ED">
        <w:trPr>
          <w:trHeight w:val="2865"/>
        </w:trPr>
        <w:tc>
          <w:tcPr>
            <w:tcW w:w="1432" w:type="dxa"/>
            <w:tcBorders>
              <w:top w:val="single" w:sz="4" w:space="0" w:color="000000"/>
              <w:left w:val="single" w:sz="4" w:space="0" w:color="000000"/>
              <w:bottom w:val="single" w:sz="8" w:space="0" w:color="000000"/>
              <w:right w:val="single" w:sz="6" w:space="0" w:color="000000"/>
            </w:tcBorders>
            <w:vAlign w:val="center"/>
            <w:hideMark/>
          </w:tcPr>
          <w:p w14:paraId="6AE19BCB" w14:textId="77777777" w:rsidR="008514F5" w:rsidRDefault="008514F5" w:rsidP="00B773ED">
            <w:pPr>
              <w:ind w:left="234" w:hanging="180"/>
              <w:rPr>
                <w:rFonts w:ascii="Times New Roman" w:hAnsi="Times New Roman" w:cs="Times New Roman"/>
                <w:sz w:val="24"/>
                <w:szCs w:val="24"/>
              </w:rPr>
            </w:pPr>
            <w:r>
              <w:rPr>
                <w:rFonts w:ascii="Times New Roman" w:hAnsi="Times New Roman" w:cs="Times New Roman"/>
                <w:sz w:val="24"/>
                <w:szCs w:val="24"/>
              </w:rPr>
              <w:t>2.Kvėpavimo takų ir veido apsaugos priemonės</w:t>
            </w:r>
          </w:p>
          <w:p w14:paraId="6AE19BCC" w14:textId="77777777" w:rsidR="008514F5" w:rsidRDefault="008514F5" w:rsidP="00B773ED">
            <w:pPr>
              <w:ind w:left="234" w:hanging="180"/>
              <w:jc w:val="center"/>
              <w:rPr>
                <w:rFonts w:ascii="Times New Roman" w:hAnsi="Times New Roman" w:cs="Times New Roman"/>
                <w:sz w:val="24"/>
                <w:szCs w:val="24"/>
              </w:rPr>
            </w:pPr>
            <w:r>
              <w:rPr>
                <w:rFonts w:ascii="Times New Roman" w:hAnsi="Times New Roman" w:cs="Times New Roman"/>
                <w:sz w:val="24"/>
                <w:szCs w:val="24"/>
              </w:rPr>
              <w:t>(suslėgto oro kvėpavimo aparatai)</w:t>
            </w:r>
          </w:p>
        </w:tc>
        <w:tc>
          <w:tcPr>
            <w:tcW w:w="1431" w:type="dxa"/>
            <w:tcBorders>
              <w:top w:val="single" w:sz="4" w:space="0" w:color="000000"/>
              <w:left w:val="single" w:sz="4" w:space="0" w:color="000000"/>
              <w:bottom w:val="single" w:sz="8" w:space="0" w:color="000000"/>
              <w:right w:val="single" w:sz="4" w:space="0" w:color="000000"/>
            </w:tcBorders>
            <w:vAlign w:val="center"/>
            <w:hideMark/>
          </w:tcPr>
          <w:p w14:paraId="6AE19BCD"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Savivaldybės priešgaisrinė tarnyba</w:t>
            </w:r>
          </w:p>
        </w:tc>
        <w:tc>
          <w:tcPr>
            <w:tcW w:w="725" w:type="dxa"/>
            <w:tcBorders>
              <w:top w:val="single" w:sz="4" w:space="0" w:color="000000"/>
              <w:left w:val="single" w:sz="4" w:space="0" w:color="000000"/>
              <w:bottom w:val="single" w:sz="6" w:space="0" w:color="000000"/>
              <w:right w:val="single" w:sz="6" w:space="0" w:color="000000"/>
            </w:tcBorders>
            <w:vAlign w:val="center"/>
          </w:tcPr>
          <w:p w14:paraId="6AE19BCE" w14:textId="3147A3E4"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komp</w:t>
            </w:r>
            <w:r w:rsidR="00AB2332">
              <w:rPr>
                <w:rFonts w:ascii="Times New Roman" w:hAnsi="Times New Roman" w:cs="Times New Roman"/>
                <w:sz w:val="24"/>
                <w:szCs w:val="24"/>
              </w:rPr>
              <w:t>-</w:t>
            </w:r>
            <w:r>
              <w:rPr>
                <w:rFonts w:ascii="Times New Roman" w:hAnsi="Times New Roman" w:cs="Times New Roman"/>
                <w:sz w:val="24"/>
                <w:szCs w:val="24"/>
              </w:rPr>
              <w:t>lektai</w:t>
            </w:r>
            <w:proofErr w:type="spellEnd"/>
          </w:p>
          <w:p w14:paraId="6AE19BCF"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(4 aparatai, 18 kaukių, 8 balionai)</w:t>
            </w:r>
          </w:p>
          <w:p w14:paraId="6AE19BD0" w14:textId="77777777" w:rsidR="008514F5" w:rsidRDefault="008514F5" w:rsidP="00B773ED">
            <w:pPr>
              <w:jc w:val="center"/>
              <w:rPr>
                <w:rFonts w:ascii="Times New Roman" w:hAnsi="Times New Roman" w:cs="Times New Roman"/>
                <w:sz w:val="24"/>
                <w:szCs w:val="24"/>
              </w:rPr>
            </w:pPr>
          </w:p>
        </w:tc>
        <w:tc>
          <w:tcPr>
            <w:tcW w:w="1276" w:type="dxa"/>
            <w:tcBorders>
              <w:top w:val="single" w:sz="4" w:space="0" w:color="000000"/>
              <w:left w:val="single" w:sz="8" w:space="0" w:color="000000"/>
              <w:bottom w:val="single" w:sz="6" w:space="0" w:color="000000"/>
              <w:right w:val="single" w:sz="6" w:space="0" w:color="000000"/>
            </w:tcBorders>
            <w:vAlign w:val="center"/>
            <w:hideMark/>
          </w:tcPr>
          <w:p w14:paraId="6AE19BD1"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14,00</w:t>
            </w:r>
          </w:p>
        </w:tc>
        <w:tc>
          <w:tcPr>
            <w:tcW w:w="715" w:type="dxa"/>
            <w:tcBorders>
              <w:top w:val="single" w:sz="4" w:space="0" w:color="000000"/>
              <w:left w:val="single" w:sz="8" w:space="0" w:color="000000"/>
              <w:bottom w:val="single" w:sz="6" w:space="0" w:color="000000"/>
              <w:right w:val="single" w:sz="6" w:space="0" w:color="000000"/>
            </w:tcBorders>
            <w:vAlign w:val="center"/>
          </w:tcPr>
          <w:p w14:paraId="6AE19BD2" w14:textId="2467269D"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komp</w:t>
            </w:r>
            <w:r w:rsidR="00AB2332">
              <w:rPr>
                <w:rFonts w:ascii="Times New Roman" w:hAnsi="Times New Roman" w:cs="Times New Roman"/>
                <w:sz w:val="24"/>
                <w:szCs w:val="24"/>
              </w:rPr>
              <w:t>-</w:t>
            </w:r>
            <w:r>
              <w:rPr>
                <w:rFonts w:ascii="Times New Roman" w:hAnsi="Times New Roman" w:cs="Times New Roman"/>
                <w:sz w:val="24"/>
                <w:szCs w:val="24"/>
              </w:rPr>
              <w:t>lektai</w:t>
            </w:r>
            <w:proofErr w:type="spellEnd"/>
          </w:p>
          <w:p w14:paraId="6AE19BD3"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(4 aparatai, 18 kaukių, 8 balionai)</w:t>
            </w:r>
          </w:p>
          <w:p w14:paraId="6AE19BD4" w14:textId="77777777" w:rsidR="008514F5" w:rsidRDefault="008514F5" w:rsidP="00B773ED">
            <w:pPr>
              <w:jc w:val="center"/>
              <w:rPr>
                <w:rFonts w:ascii="Times New Roman" w:hAnsi="Times New Roman" w:cs="Times New Roman"/>
                <w:sz w:val="24"/>
                <w:szCs w:val="24"/>
              </w:rPr>
            </w:pPr>
          </w:p>
        </w:tc>
        <w:tc>
          <w:tcPr>
            <w:tcW w:w="1287" w:type="dxa"/>
            <w:tcBorders>
              <w:top w:val="single" w:sz="4" w:space="0" w:color="000000"/>
              <w:left w:val="single" w:sz="8" w:space="0" w:color="000000"/>
              <w:bottom w:val="single" w:sz="6" w:space="0" w:color="000000"/>
              <w:right w:val="single" w:sz="6" w:space="0" w:color="000000"/>
            </w:tcBorders>
            <w:vAlign w:val="center"/>
            <w:hideMark/>
          </w:tcPr>
          <w:p w14:paraId="6AE19BD5"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14,00</w:t>
            </w:r>
          </w:p>
        </w:tc>
        <w:tc>
          <w:tcPr>
            <w:tcW w:w="715" w:type="dxa"/>
            <w:tcBorders>
              <w:top w:val="single" w:sz="4" w:space="0" w:color="000000"/>
              <w:left w:val="single" w:sz="8" w:space="0" w:color="000000"/>
              <w:bottom w:val="single" w:sz="6" w:space="0" w:color="000000"/>
              <w:right w:val="single" w:sz="6" w:space="0" w:color="000000"/>
            </w:tcBorders>
            <w:vAlign w:val="center"/>
            <w:hideMark/>
          </w:tcPr>
          <w:p w14:paraId="6AE19BD6" w14:textId="24412523"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komp</w:t>
            </w:r>
            <w:r w:rsidR="00AB2332">
              <w:rPr>
                <w:rFonts w:ascii="Times New Roman" w:hAnsi="Times New Roman" w:cs="Times New Roman"/>
                <w:sz w:val="24"/>
                <w:szCs w:val="24"/>
              </w:rPr>
              <w:t>-</w:t>
            </w:r>
            <w:r>
              <w:rPr>
                <w:rFonts w:ascii="Times New Roman" w:hAnsi="Times New Roman" w:cs="Times New Roman"/>
                <w:sz w:val="24"/>
                <w:szCs w:val="24"/>
              </w:rPr>
              <w:t>lektas</w:t>
            </w:r>
            <w:proofErr w:type="spellEnd"/>
          </w:p>
          <w:p w14:paraId="6AE19BD7"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 aparatai, 9 kaukės, 4 balionai)</w:t>
            </w:r>
          </w:p>
        </w:tc>
        <w:tc>
          <w:tcPr>
            <w:tcW w:w="1286" w:type="dxa"/>
            <w:tcBorders>
              <w:top w:val="single" w:sz="4" w:space="0" w:color="000000"/>
              <w:left w:val="single" w:sz="8" w:space="0" w:color="000000"/>
              <w:bottom w:val="single" w:sz="6" w:space="0" w:color="000000"/>
              <w:right w:val="single" w:sz="6" w:space="0" w:color="000000"/>
            </w:tcBorders>
            <w:vAlign w:val="center"/>
            <w:hideMark/>
          </w:tcPr>
          <w:p w14:paraId="6AE19BD8"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7,00</w:t>
            </w:r>
          </w:p>
        </w:tc>
        <w:tc>
          <w:tcPr>
            <w:tcW w:w="715" w:type="dxa"/>
            <w:tcBorders>
              <w:top w:val="single" w:sz="4" w:space="0" w:color="000000"/>
              <w:left w:val="single" w:sz="8" w:space="0" w:color="000000"/>
              <w:bottom w:val="single" w:sz="6" w:space="0" w:color="000000"/>
              <w:right w:val="single" w:sz="8" w:space="0" w:color="000000"/>
            </w:tcBorders>
            <w:vAlign w:val="center"/>
            <w:hideMark/>
          </w:tcPr>
          <w:p w14:paraId="6AE19BD9" w14:textId="723A69DB"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komp</w:t>
            </w:r>
            <w:r w:rsidR="00AB2332">
              <w:rPr>
                <w:rFonts w:ascii="Times New Roman" w:hAnsi="Times New Roman" w:cs="Times New Roman"/>
                <w:sz w:val="24"/>
                <w:szCs w:val="24"/>
              </w:rPr>
              <w:t>-</w:t>
            </w:r>
            <w:r>
              <w:rPr>
                <w:rFonts w:ascii="Times New Roman" w:hAnsi="Times New Roman" w:cs="Times New Roman"/>
                <w:sz w:val="24"/>
                <w:szCs w:val="24"/>
              </w:rPr>
              <w:t>lektas</w:t>
            </w:r>
            <w:proofErr w:type="spellEnd"/>
          </w:p>
          <w:p w14:paraId="6AE19BDA"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 aparatai, 9 kaukės, 4 balionai)</w:t>
            </w:r>
          </w:p>
        </w:tc>
        <w:tc>
          <w:tcPr>
            <w:tcW w:w="1287" w:type="dxa"/>
            <w:tcBorders>
              <w:top w:val="single" w:sz="4" w:space="0" w:color="000000"/>
              <w:left w:val="single" w:sz="8" w:space="0" w:color="000000"/>
              <w:bottom w:val="single" w:sz="6" w:space="0" w:color="000000"/>
              <w:right w:val="single" w:sz="4" w:space="0" w:color="000000"/>
            </w:tcBorders>
            <w:vAlign w:val="center"/>
            <w:hideMark/>
          </w:tcPr>
          <w:p w14:paraId="6AE19BDB"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7,00</w:t>
            </w:r>
          </w:p>
        </w:tc>
        <w:tc>
          <w:tcPr>
            <w:tcW w:w="715" w:type="dxa"/>
            <w:tcBorders>
              <w:top w:val="single" w:sz="4" w:space="0" w:color="000000"/>
              <w:left w:val="single" w:sz="8" w:space="0" w:color="000000"/>
              <w:bottom w:val="single" w:sz="6" w:space="0" w:color="000000"/>
              <w:right w:val="single" w:sz="4" w:space="0" w:color="000000"/>
            </w:tcBorders>
            <w:vAlign w:val="center"/>
            <w:hideMark/>
          </w:tcPr>
          <w:p w14:paraId="6AE19BDC" w14:textId="45FBF4F6"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komp</w:t>
            </w:r>
            <w:r w:rsidR="00AB2332">
              <w:rPr>
                <w:rFonts w:ascii="Times New Roman" w:hAnsi="Times New Roman" w:cs="Times New Roman"/>
                <w:sz w:val="24"/>
                <w:szCs w:val="24"/>
              </w:rPr>
              <w:t>-</w:t>
            </w:r>
            <w:r>
              <w:rPr>
                <w:rFonts w:ascii="Times New Roman" w:hAnsi="Times New Roman" w:cs="Times New Roman"/>
                <w:sz w:val="24"/>
                <w:szCs w:val="24"/>
              </w:rPr>
              <w:t>lektas</w:t>
            </w:r>
            <w:proofErr w:type="spellEnd"/>
          </w:p>
          <w:p w14:paraId="6AE19BDD"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(2 aparatai, 9 kaukės, 4 balionai)</w:t>
            </w:r>
          </w:p>
        </w:tc>
        <w:tc>
          <w:tcPr>
            <w:tcW w:w="1286" w:type="dxa"/>
            <w:tcBorders>
              <w:top w:val="single" w:sz="4" w:space="0" w:color="000000"/>
              <w:left w:val="single" w:sz="4" w:space="0" w:color="000000"/>
              <w:bottom w:val="single" w:sz="6" w:space="0" w:color="000000"/>
              <w:right w:val="single" w:sz="6" w:space="0" w:color="000000"/>
            </w:tcBorders>
            <w:vAlign w:val="center"/>
            <w:hideMark/>
          </w:tcPr>
          <w:p w14:paraId="6AE19BDE"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7,00</w:t>
            </w:r>
          </w:p>
        </w:tc>
        <w:tc>
          <w:tcPr>
            <w:tcW w:w="715" w:type="dxa"/>
            <w:tcBorders>
              <w:top w:val="single" w:sz="4" w:space="0" w:color="000000"/>
              <w:left w:val="single" w:sz="8" w:space="0" w:color="000000"/>
              <w:bottom w:val="single" w:sz="6" w:space="0" w:color="000000"/>
              <w:right w:val="single" w:sz="4" w:space="0" w:color="000000"/>
            </w:tcBorders>
            <w:vAlign w:val="center"/>
          </w:tcPr>
          <w:p w14:paraId="6AE19BDF" w14:textId="77777777" w:rsidR="008514F5" w:rsidRDefault="008514F5" w:rsidP="00B773ED">
            <w:pPr>
              <w:jc w:val="center"/>
              <w:rPr>
                <w:rFonts w:ascii="Times New Roman" w:hAnsi="Times New Roman" w:cs="Times New Roman"/>
                <w:sz w:val="24"/>
                <w:szCs w:val="24"/>
              </w:rPr>
            </w:pPr>
          </w:p>
        </w:tc>
        <w:tc>
          <w:tcPr>
            <w:tcW w:w="1291" w:type="dxa"/>
            <w:tcBorders>
              <w:top w:val="single" w:sz="4" w:space="0" w:color="000000"/>
              <w:left w:val="single" w:sz="4" w:space="0" w:color="000000"/>
              <w:bottom w:val="single" w:sz="6" w:space="0" w:color="000000"/>
              <w:right w:val="single" w:sz="4" w:space="0" w:color="000000"/>
            </w:tcBorders>
            <w:vAlign w:val="center"/>
          </w:tcPr>
          <w:p w14:paraId="6AE19BE0" w14:textId="77777777" w:rsidR="008514F5" w:rsidRDefault="008514F5" w:rsidP="00B773ED">
            <w:pPr>
              <w:jc w:val="center"/>
              <w:rPr>
                <w:rFonts w:ascii="Times New Roman" w:hAnsi="Times New Roman" w:cs="Times New Roman"/>
                <w:sz w:val="24"/>
                <w:szCs w:val="24"/>
              </w:rPr>
            </w:pPr>
          </w:p>
        </w:tc>
      </w:tr>
      <w:tr w:rsidR="008514F5" w14:paraId="6AE19BEF" w14:textId="77777777" w:rsidTr="00B773ED">
        <w:tc>
          <w:tcPr>
            <w:tcW w:w="2863" w:type="dxa"/>
            <w:gridSpan w:val="2"/>
            <w:tcBorders>
              <w:top w:val="single" w:sz="4" w:space="0" w:color="000000"/>
              <w:left w:val="single" w:sz="4" w:space="0" w:color="000000"/>
              <w:bottom w:val="single" w:sz="6" w:space="0" w:color="000000"/>
              <w:right w:val="single" w:sz="4" w:space="0" w:color="000000"/>
            </w:tcBorders>
            <w:hideMark/>
          </w:tcPr>
          <w:p w14:paraId="6AE19BE2" w14:textId="77777777" w:rsidR="008514F5" w:rsidRDefault="008514F5" w:rsidP="00B773ED">
            <w:pPr>
              <w:rPr>
                <w:rFonts w:ascii="Times New Roman" w:hAnsi="Times New Roman" w:cs="Times New Roman"/>
                <w:sz w:val="24"/>
                <w:szCs w:val="24"/>
              </w:rPr>
            </w:pPr>
            <w:r>
              <w:rPr>
                <w:rFonts w:ascii="Times New Roman" w:hAnsi="Times New Roman" w:cs="Times New Roman"/>
                <w:bCs/>
                <w:sz w:val="24"/>
                <w:szCs w:val="24"/>
              </w:rPr>
              <w:t xml:space="preserve">Bendra suma (tūkst. </w:t>
            </w:r>
            <w:proofErr w:type="spellStart"/>
            <w:r>
              <w:rPr>
                <w:rFonts w:ascii="Times New Roman" w:hAnsi="Times New Roman" w:cs="Times New Roman"/>
                <w:bCs/>
                <w:sz w:val="24"/>
                <w:szCs w:val="24"/>
              </w:rPr>
              <w:t>Eur</w:t>
            </w:r>
            <w:proofErr w:type="spellEnd"/>
            <w:r>
              <w:rPr>
                <w:rFonts w:ascii="Times New Roman" w:hAnsi="Times New Roman" w:cs="Times New Roman"/>
                <w:bCs/>
                <w:sz w:val="24"/>
                <w:szCs w:val="24"/>
              </w:rPr>
              <w:t>.)</w:t>
            </w:r>
          </w:p>
        </w:tc>
        <w:tc>
          <w:tcPr>
            <w:tcW w:w="725" w:type="dxa"/>
            <w:tcBorders>
              <w:top w:val="single" w:sz="4" w:space="0" w:color="000000"/>
              <w:left w:val="single" w:sz="4" w:space="0" w:color="000000"/>
              <w:bottom w:val="single" w:sz="4" w:space="0" w:color="000000"/>
              <w:right w:val="single" w:sz="6" w:space="0" w:color="000000"/>
            </w:tcBorders>
          </w:tcPr>
          <w:p w14:paraId="6AE19BE3" w14:textId="77777777" w:rsidR="008514F5" w:rsidRDefault="008514F5" w:rsidP="00B773ED">
            <w:pPr>
              <w:jc w:val="center"/>
              <w:rPr>
                <w:rFonts w:ascii="Times New Roman" w:hAnsi="Times New Roman" w:cs="Times New Roman"/>
                <w:sz w:val="24"/>
                <w:szCs w:val="24"/>
              </w:rPr>
            </w:pPr>
          </w:p>
        </w:tc>
        <w:tc>
          <w:tcPr>
            <w:tcW w:w="1276" w:type="dxa"/>
            <w:tcBorders>
              <w:top w:val="single" w:sz="4" w:space="0" w:color="000000"/>
              <w:left w:val="single" w:sz="8" w:space="0" w:color="000000"/>
              <w:bottom w:val="single" w:sz="4" w:space="0" w:color="000000"/>
              <w:right w:val="single" w:sz="6" w:space="0" w:color="000000"/>
            </w:tcBorders>
            <w:hideMark/>
          </w:tcPr>
          <w:p w14:paraId="6AE19BE4"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14,00</w:t>
            </w:r>
          </w:p>
        </w:tc>
        <w:tc>
          <w:tcPr>
            <w:tcW w:w="715" w:type="dxa"/>
            <w:tcBorders>
              <w:top w:val="single" w:sz="4" w:space="0" w:color="000000"/>
              <w:left w:val="single" w:sz="8" w:space="0" w:color="000000"/>
              <w:bottom w:val="single" w:sz="4" w:space="0" w:color="000000"/>
              <w:right w:val="single" w:sz="6" w:space="0" w:color="000000"/>
            </w:tcBorders>
          </w:tcPr>
          <w:p w14:paraId="6AE19BE5" w14:textId="77777777" w:rsidR="008514F5" w:rsidRDefault="008514F5" w:rsidP="00B773ED">
            <w:pPr>
              <w:jc w:val="center"/>
              <w:rPr>
                <w:rFonts w:ascii="Times New Roman" w:hAnsi="Times New Roman" w:cs="Times New Roman"/>
                <w:sz w:val="24"/>
                <w:szCs w:val="24"/>
              </w:rPr>
            </w:pPr>
          </w:p>
        </w:tc>
        <w:tc>
          <w:tcPr>
            <w:tcW w:w="1287" w:type="dxa"/>
            <w:tcBorders>
              <w:top w:val="single" w:sz="4" w:space="0" w:color="000000"/>
              <w:left w:val="single" w:sz="8" w:space="0" w:color="000000"/>
              <w:bottom w:val="single" w:sz="4" w:space="0" w:color="000000"/>
              <w:right w:val="single" w:sz="6" w:space="0" w:color="000000"/>
            </w:tcBorders>
            <w:hideMark/>
          </w:tcPr>
          <w:p w14:paraId="6AE19BE6"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150,00</w:t>
            </w:r>
          </w:p>
        </w:tc>
        <w:tc>
          <w:tcPr>
            <w:tcW w:w="715" w:type="dxa"/>
            <w:tcBorders>
              <w:top w:val="single" w:sz="4" w:space="0" w:color="000000"/>
              <w:left w:val="single" w:sz="8" w:space="0" w:color="000000"/>
              <w:bottom w:val="single" w:sz="4" w:space="0" w:color="000000"/>
              <w:right w:val="single" w:sz="6" w:space="0" w:color="000000"/>
            </w:tcBorders>
          </w:tcPr>
          <w:p w14:paraId="6AE19BE7" w14:textId="77777777" w:rsidR="008514F5" w:rsidRDefault="008514F5" w:rsidP="00B773ED">
            <w:pPr>
              <w:jc w:val="center"/>
              <w:rPr>
                <w:rFonts w:ascii="Times New Roman" w:hAnsi="Times New Roman" w:cs="Times New Roman"/>
                <w:sz w:val="24"/>
                <w:szCs w:val="24"/>
              </w:rPr>
            </w:pPr>
          </w:p>
        </w:tc>
        <w:tc>
          <w:tcPr>
            <w:tcW w:w="1286" w:type="dxa"/>
            <w:tcBorders>
              <w:top w:val="single" w:sz="4" w:space="0" w:color="000000"/>
              <w:left w:val="single" w:sz="8" w:space="0" w:color="000000"/>
              <w:bottom w:val="single" w:sz="4" w:space="0" w:color="000000"/>
              <w:right w:val="single" w:sz="6" w:space="0" w:color="000000"/>
            </w:tcBorders>
            <w:hideMark/>
          </w:tcPr>
          <w:p w14:paraId="6AE19BE8"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37,00</w:t>
            </w:r>
          </w:p>
        </w:tc>
        <w:tc>
          <w:tcPr>
            <w:tcW w:w="715" w:type="dxa"/>
            <w:tcBorders>
              <w:top w:val="single" w:sz="4" w:space="0" w:color="000000"/>
              <w:left w:val="single" w:sz="8" w:space="0" w:color="000000"/>
              <w:bottom w:val="single" w:sz="4" w:space="0" w:color="000000"/>
              <w:right w:val="single" w:sz="4" w:space="0" w:color="000000"/>
            </w:tcBorders>
          </w:tcPr>
          <w:p w14:paraId="6AE19BE9" w14:textId="77777777" w:rsidR="008514F5" w:rsidRDefault="008514F5" w:rsidP="00B773ED">
            <w:pPr>
              <w:jc w:val="center"/>
              <w:rPr>
                <w:rFonts w:ascii="Times New Roman" w:hAnsi="Times New Roman" w:cs="Times New Roman"/>
                <w:sz w:val="24"/>
                <w:szCs w:val="24"/>
              </w:rPr>
            </w:pPr>
          </w:p>
        </w:tc>
        <w:tc>
          <w:tcPr>
            <w:tcW w:w="1287" w:type="dxa"/>
            <w:tcBorders>
              <w:top w:val="single" w:sz="4" w:space="0" w:color="000000"/>
              <w:left w:val="single" w:sz="4" w:space="0" w:color="000000"/>
              <w:bottom w:val="single" w:sz="4" w:space="0" w:color="000000"/>
              <w:right w:val="single" w:sz="4" w:space="0" w:color="000000"/>
            </w:tcBorders>
            <w:hideMark/>
          </w:tcPr>
          <w:p w14:paraId="6AE19BEA"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37,00</w:t>
            </w:r>
          </w:p>
        </w:tc>
        <w:tc>
          <w:tcPr>
            <w:tcW w:w="715" w:type="dxa"/>
            <w:tcBorders>
              <w:top w:val="single" w:sz="4" w:space="0" w:color="000000"/>
              <w:left w:val="single" w:sz="4" w:space="0" w:color="000000"/>
              <w:bottom w:val="single" w:sz="4" w:space="0" w:color="000000"/>
              <w:right w:val="single" w:sz="6" w:space="0" w:color="000000"/>
            </w:tcBorders>
          </w:tcPr>
          <w:p w14:paraId="6AE19BEB" w14:textId="77777777" w:rsidR="008514F5" w:rsidRDefault="008514F5" w:rsidP="00B773ED">
            <w:pPr>
              <w:jc w:val="center"/>
              <w:rPr>
                <w:rFonts w:ascii="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6" w:space="0" w:color="000000"/>
            </w:tcBorders>
            <w:hideMark/>
          </w:tcPr>
          <w:p w14:paraId="6AE19BEC"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37,00</w:t>
            </w:r>
          </w:p>
        </w:tc>
        <w:tc>
          <w:tcPr>
            <w:tcW w:w="715" w:type="dxa"/>
            <w:tcBorders>
              <w:top w:val="single" w:sz="4" w:space="0" w:color="000000"/>
              <w:left w:val="single" w:sz="8" w:space="0" w:color="000000"/>
              <w:bottom w:val="single" w:sz="4" w:space="0" w:color="000000"/>
              <w:right w:val="single" w:sz="4" w:space="0" w:color="000000"/>
            </w:tcBorders>
          </w:tcPr>
          <w:p w14:paraId="6AE19BED" w14:textId="77777777" w:rsidR="008514F5" w:rsidRDefault="008514F5" w:rsidP="00B773ED">
            <w:pPr>
              <w:jc w:val="center"/>
              <w:rPr>
                <w:rFonts w:ascii="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hideMark/>
          </w:tcPr>
          <w:p w14:paraId="6AE19BEE"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30,00</w:t>
            </w:r>
          </w:p>
        </w:tc>
      </w:tr>
      <w:tr w:rsidR="008514F5" w14:paraId="6AE19BF5" w14:textId="77777777" w:rsidTr="00B773ED">
        <w:trPr>
          <w:trHeight w:val="708"/>
        </w:trPr>
        <w:tc>
          <w:tcPr>
            <w:tcW w:w="2863" w:type="dxa"/>
            <w:gridSpan w:val="2"/>
            <w:tcBorders>
              <w:top w:val="single" w:sz="4" w:space="0" w:color="000000"/>
              <w:left w:val="single" w:sz="4" w:space="0" w:color="000000"/>
              <w:bottom w:val="single" w:sz="6" w:space="0" w:color="000000"/>
              <w:right w:val="single" w:sz="4" w:space="0" w:color="auto"/>
            </w:tcBorders>
          </w:tcPr>
          <w:p w14:paraId="6AE19BF0" w14:textId="77777777" w:rsidR="008514F5" w:rsidRDefault="008514F5" w:rsidP="00B773ED">
            <w:pPr>
              <w:jc w:val="center"/>
              <w:rPr>
                <w:rFonts w:ascii="Times New Roman" w:hAnsi="Times New Roman" w:cs="Times New Roman"/>
                <w:bCs/>
                <w:sz w:val="24"/>
                <w:szCs w:val="24"/>
              </w:rPr>
            </w:pPr>
          </w:p>
          <w:p w14:paraId="6AE19BF1" w14:textId="32B94A96" w:rsidR="008514F5" w:rsidRDefault="008514F5" w:rsidP="00B773ED">
            <w:pPr>
              <w:rPr>
                <w:rFonts w:ascii="Times New Roman" w:hAnsi="Times New Roman" w:cs="Times New Roman"/>
                <w:bCs/>
                <w:sz w:val="24"/>
                <w:szCs w:val="24"/>
              </w:rPr>
            </w:pPr>
            <w:r>
              <w:rPr>
                <w:rFonts w:ascii="Times New Roman" w:hAnsi="Times New Roman" w:cs="Times New Roman"/>
                <w:bCs/>
                <w:sz w:val="24"/>
                <w:szCs w:val="24"/>
              </w:rPr>
              <w:t xml:space="preserve">Viso (tūkst. </w:t>
            </w:r>
            <w:proofErr w:type="spellStart"/>
            <w:r>
              <w:rPr>
                <w:rFonts w:ascii="Times New Roman" w:hAnsi="Times New Roman" w:cs="Times New Roman"/>
                <w:bCs/>
                <w:sz w:val="24"/>
                <w:szCs w:val="24"/>
              </w:rPr>
              <w:t>Eur</w:t>
            </w:r>
            <w:proofErr w:type="spellEnd"/>
            <w:r>
              <w:rPr>
                <w:rFonts w:ascii="Times New Roman" w:hAnsi="Times New Roman" w:cs="Times New Roman"/>
                <w:bCs/>
                <w:sz w:val="24"/>
                <w:szCs w:val="24"/>
              </w:rPr>
              <w:t>)</w:t>
            </w:r>
          </w:p>
          <w:p w14:paraId="6AE19BF2" w14:textId="77777777" w:rsidR="008514F5" w:rsidRDefault="008514F5" w:rsidP="00B773ED">
            <w:pPr>
              <w:jc w:val="center"/>
              <w:rPr>
                <w:rFonts w:ascii="Times New Roman" w:hAnsi="Times New Roman" w:cs="Times New Roman"/>
                <w:sz w:val="24"/>
                <w:szCs w:val="24"/>
              </w:rPr>
            </w:pPr>
          </w:p>
        </w:tc>
        <w:tc>
          <w:tcPr>
            <w:tcW w:w="12013" w:type="dxa"/>
            <w:gridSpan w:val="12"/>
            <w:tcBorders>
              <w:top w:val="single" w:sz="4" w:space="0" w:color="000000"/>
              <w:left w:val="single" w:sz="4" w:space="0" w:color="auto"/>
              <w:bottom w:val="single" w:sz="6" w:space="0" w:color="000000"/>
              <w:right w:val="single" w:sz="4" w:space="0" w:color="000000"/>
            </w:tcBorders>
          </w:tcPr>
          <w:p w14:paraId="6AE19BF3" w14:textId="77777777" w:rsidR="008514F5" w:rsidRDefault="008514F5" w:rsidP="00B773ED">
            <w:pPr>
              <w:jc w:val="center"/>
              <w:rPr>
                <w:rFonts w:ascii="Times New Roman" w:hAnsi="Times New Roman" w:cs="Times New Roman"/>
                <w:bCs/>
                <w:sz w:val="24"/>
                <w:szCs w:val="24"/>
              </w:rPr>
            </w:pPr>
          </w:p>
          <w:p w14:paraId="6AE19BF4" w14:textId="77777777" w:rsidR="008514F5" w:rsidRDefault="008514F5" w:rsidP="00B773ED">
            <w:pPr>
              <w:jc w:val="center"/>
              <w:rPr>
                <w:rFonts w:ascii="Times New Roman" w:hAnsi="Times New Roman" w:cs="Times New Roman"/>
                <w:sz w:val="24"/>
                <w:szCs w:val="24"/>
              </w:rPr>
            </w:pPr>
            <w:r>
              <w:rPr>
                <w:rFonts w:ascii="Times New Roman" w:hAnsi="Times New Roman" w:cs="Times New Roman"/>
                <w:sz w:val="24"/>
                <w:szCs w:val="24"/>
              </w:rPr>
              <w:t>305,00</w:t>
            </w:r>
          </w:p>
        </w:tc>
      </w:tr>
    </w:tbl>
    <w:p w14:paraId="6AE19BF6" w14:textId="77777777" w:rsidR="008514F5" w:rsidRDefault="008514F5" w:rsidP="008514F5"/>
    <w:p w14:paraId="6AE19BF7" w14:textId="77777777" w:rsidR="008514F5" w:rsidRDefault="008514F5" w:rsidP="008514F5">
      <w:pPr>
        <w:jc w:val="center"/>
        <w:rPr>
          <w:rFonts w:ascii="Times New Roman" w:hAnsi="Times New Roman" w:cs="Times New Roman"/>
          <w:sz w:val="24"/>
          <w:szCs w:val="24"/>
        </w:rPr>
      </w:pPr>
      <w:r>
        <w:rPr>
          <w:rFonts w:ascii="Times New Roman" w:hAnsi="Times New Roman" w:cs="Times New Roman"/>
          <w:sz w:val="24"/>
          <w:szCs w:val="24"/>
        </w:rPr>
        <w:t>_______________________</w:t>
      </w:r>
    </w:p>
    <w:p w14:paraId="6AE19BF8" w14:textId="77777777" w:rsidR="004028E5" w:rsidRDefault="004028E5"/>
    <w:sectPr w:rsidR="004028E5" w:rsidSect="008514F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F5"/>
    <w:rsid w:val="001943BF"/>
    <w:rsid w:val="004028E5"/>
    <w:rsid w:val="008514F5"/>
    <w:rsid w:val="00A77150"/>
    <w:rsid w:val="00AB23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14F5"/>
    <w:rPr>
      <w:rFonts w:ascii="Calibri" w:hAnsi="Calibri" w:cs="Calibri"/>
      <w:sz w:val="22"/>
      <w:szCs w:val="22"/>
      <w:lang w:eastAsia="lt-LT"/>
    </w:rPr>
  </w:style>
  <w:style w:type="paragraph" w:styleId="Antrat1">
    <w:name w:val="heading 1"/>
    <w:basedOn w:val="prastasis"/>
    <w:next w:val="prastasis"/>
    <w:link w:val="Antrat1Diagrama"/>
    <w:qFormat/>
    <w:rsid w:val="001943BF"/>
    <w:pPr>
      <w:keepNext/>
      <w:outlineLvl w:val="0"/>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rPr>
      <w:rFonts w:ascii="Times New Roman" w:hAnsi="Times New Roman" w:cs="Times New Roman"/>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14F5"/>
    <w:rPr>
      <w:rFonts w:ascii="Calibri" w:hAnsi="Calibri" w:cs="Calibri"/>
      <w:sz w:val="22"/>
      <w:szCs w:val="22"/>
      <w:lang w:eastAsia="lt-LT"/>
    </w:rPr>
  </w:style>
  <w:style w:type="paragraph" w:styleId="Antrat1">
    <w:name w:val="heading 1"/>
    <w:basedOn w:val="prastasis"/>
    <w:next w:val="prastasis"/>
    <w:link w:val="Antrat1Diagrama"/>
    <w:qFormat/>
    <w:rsid w:val="001943BF"/>
    <w:pPr>
      <w:keepNext/>
      <w:outlineLvl w:val="0"/>
    </w:pPr>
    <w:rPr>
      <w:rFonts w:ascii="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43BF"/>
    <w:rPr>
      <w:sz w:val="24"/>
    </w:rPr>
  </w:style>
  <w:style w:type="character" w:styleId="Grietas">
    <w:name w:val="Strong"/>
    <w:basedOn w:val="Numatytasispastraiposriftas"/>
    <w:uiPriority w:val="99"/>
    <w:qFormat/>
    <w:rsid w:val="001943BF"/>
    <w:rPr>
      <w:b/>
      <w:bCs/>
      <w:spacing w:val="0"/>
    </w:rPr>
  </w:style>
  <w:style w:type="character" w:styleId="Emfaz">
    <w:name w:val="Emphasis"/>
    <w:qFormat/>
    <w:rsid w:val="001943BF"/>
    <w:rPr>
      <w:b/>
      <w:bCs/>
      <w:i w:val="0"/>
      <w:iCs w:val="0"/>
    </w:rPr>
  </w:style>
  <w:style w:type="paragraph" w:styleId="Sraopastraipa">
    <w:name w:val="List Paragraph"/>
    <w:basedOn w:val="prastasis"/>
    <w:uiPriority w:val="34"/>
    <w:qFormat/>
    <w:rsid w:val="001943BF"/>
    <w:pPr>
      <w:ind w:left="1296"/>
    </w:pPr>
    <w:rPr>
      <w:rFonts w:ascii="Times New Roman" w:hAnsi="Times New Roman"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8114</Characters>
  <Application>Microsoft Office Word</Application>
  <DocSecurity>0</DocSecurity>
  <Lines>67</Lines>
  <Paragraphs>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Giedrė Kunigelienė</cp:lastModifiedBy>
  <cp:revision>2</cp:revision>
  <dcterms:created xsi:type="dcterms:W3CDTF">2018-06-20T07:54:00Z</dcterms:created>
  <dcterms:modified xsi:type="dcterms:W3CDTF">2018-06-20T07:54:00Z</dcterms:modified>
</cp:coreProperties>
</file>