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I. MŪSŲ RAJONO REZULTATAI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vertAlign w:val="baseline"/>
          <w:rtl w:val="0"/>
        </w:rPr>
        <w:t xml:space="preserve">AKCIJOJE „DAROM 2016“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 ISTAIGU, DALYVIŲ SKAIČIUS IR SURINKTŲ ATLIEKŲ KIEKIS PAGAL SENIŪNIJAS IR MIŠKŲ URĖDIJA </w:t>
        <w:br w:type="textWrapping"/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0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7"/>
        <w:gridCol w:w="3129"/>
        <w:gridCol w:w="1110"/>
        <w:gridCol w:w="1230"/>
        <w:gridCol w:w="1802"/>
        <w:tblGridChange w:id="0">
          <w:tblGrid>
            <w:gridCol w:w="767"/>
            <w:gridCol w:w="3129"/>
            <w:gridCol w:w="1110"/>
            <w:gridCol w:w="1230"/>
            <w:gridCol w:w="18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Eil. Nr.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Seniūnijos pavadinimas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Įstaigų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skaičius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Dalyvių skaičius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Surinktų atliekų kiekis (tonomis)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Rokiškio kaimiškoji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984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Rokiškio miesto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1086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Jūžintų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190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Obelių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458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Kamajų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Kazliškio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Juodupės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270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Panemunėlio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326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Pandėlio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231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Kriaunų seniūnija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168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VĮ Rokiškio Miškų urėdija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  <w:rtl w:val="0"/>
              </w:rPr>
              <w:t xml:space="preserve">(atitinkamai prie seniūnijų)</w:t>
            </w:r>
          </w:p>
        </w:tc>
      </w:tr>
      <w:tr>
        <w:tc>
          <w:tcPr>
            <w:gridSpan w:val="2"/>
            <w:shd w:fill="a0a0a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Iš viso dalyvių: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0a0a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0a0a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4146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0a0a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Iš viso smulkių ir stambiagabaričių atliekų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62,89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Padangos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Iš viso atliekų: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62,89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II. PANEVĖŽIO APSKRITIES REZULTATAI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Į Panevėžio regioninį sąvartyną akcijoje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“Darom 2016”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atvežta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180,77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t. akcijos atliekų.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Pagal savivaldybes: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Panevėžio miestas –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11,56 t. (didžiosios)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Panevėžio rajonas -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29,92 t (mišrių 25,14 t; didžiųjų 0,32 t; biologiškai skaidžių 4,46 t.);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Biržų rajonas -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53,14 t. (mišrios);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Pasvalio rajonas -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23,26 t. (mišrios);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Rokiškio rajonas –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62,89 t. (mišrios 57,69 t; didžiųjų 5,2 t.);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Kupiškio r.-0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ahom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